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EB4E" w14:textId="77777777" w:rsidR="008B164F" w:rsidRDefault="008B164F" w:rsidP="008B164F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ТЕРРИТОРИАЛЬНАЯ ИЗБИРАТЕЛЬНАЯ КОМИССИЯ № 2 ОКТЯБРЬСКОГО ОКРУГА ГОРОДА ЛИПЕЦКА</w:t>
      </w:r>
    </w:p>
    <w:p w14:paraId="47B8D47F" w14:textId="77777777" w:rsidR="008B164F" w:rsidRDefault="008B164F" w:rsidP="008B164F">
      <w:pPr>
        <w:spacing w:line="360" w:lineRule="auto"/>
        <w:jc w:val="center"/>
        <w:rPr>
          <w:b/>
          <w:i/>
          <w:snapToGrid w:val="0"/>
          <w:sz w:val="10"/>
          <w:szCs w:val="10"/>
          <w:lang w:val="x-none" w:eastAsia="x-none"/>
        </w:rPr>
      </w:pPr>
    </w:p>
    <w:p w14:paraId="18BCD8B7" w14:textId="77777777" w:rsidR="008B164F" w:rsidRDefault="008B164F" w:rsidP="008B164F">
      <w:pPr>
        <w:spacing w:line="360" w:lineRule="auto"/>
        <w:jc w:val="center"/>
        <w:rPr>
          <w:b/>
          <w:snapToGrid w:val="0"/>
          <w:sz w:val="36"/>
          <w:szCs w:val="24"/>
          <w:lang w:val="x-none" w:eastAsia="x-none"/>
        </w:rPr>
      </w:pPr>
      <w:r>
        <w:rPr>
          <w:b/>
          <w:snapToGrid w:val="0"/>
          <w:sz w:val="36"/>
          <w:szCs w:val="24"/>
          <w:lang w:val="x-none" w:eastAsia="x-none"/>
        </w:rPr>
        <w:t>ПОСТАНОВЛЕНИЕ</w:t>
      </w:r>
    </w:p>
    <w:p w14:paraId="1FD2B063" w14:textId="785698A9" w:rsidR="008B164F" w:rsidRDefault="00A43831" w:rsidP="008B164F">
      <w:pPr>
        <w:spacing w:line="360" w:lineRule="auto"/>
        <w:jc w:val="center"/>
        <w:rPr>
          <w:color w:val="000000"/>
        </w:rPr>
      </w:pPr>
      <w:r>
        <w:t>18 июня</w:t>
      </w:r>
      <w:r w:rsidR="008B164F">
        <w:t xml:space="preserve"> 2021 года                                                                                                                     </w:t>
      </w:r>
      <w:r w:rsidR="008B164F">
        <w:rPr>
          <w:color w:val="000000"/>
        </w:rPr>
        <w:t xml:space="preserve">№ </w:t>
      </w:r>
      <w:r w:rsidR="00F82D76">
        <w:rPr>
          <w:color w:val="000000"/>
        </w:rPr>
        <w:t>8</w:t>
      </w:r>
      <w:r w:rsidR="008B164F">
        <w:rPr>
          <w:color w:val="000000"/>
        </w:rPr>
        <w:t>/</w:t>
      </w:r>
      <w:r>
        <w:rPr>
          <w:color w:val="000000"/>
        </w:rPr>
        <w:t>5</w:t>
      </w:r>
      <w:r w:rsidR="008B164F">
        <w:rPr>
          <w:color w:val="000000"/>
        </w:rPr>
        <w:t>4</w:t>
      </w:r>
    </w:p>
    <w:p w14:paraId="70C57983" w14:textId="77777777" w:rsidR="008B164F" w:rsidRDefault="008B164F" w:rsidP="008B164F">
      <w:pPr>
        <w:spacing w:line="360" w:lineRule="auto"/>
        <w:jc w:val="center"/>
        <w:rPr>
          <w:sz w:val="10"/>
          <w:szCs w:val="10"/>
        </w:rPr>
      </w:pPr>
    </w:p>
    <w:p w14:paraId="62D39597" w14:textId="77777777" w:rsidR="008B164F" w:rsidRDefault="008B164F" w:rsidP="008B164F">
      <w:pPr>
        <w:spacing w:line="360" w:lineRule="auto"/>
        <w:jc w:val="center"/>
        <w:rPr>
          <w:i/>
        </w:rPr>
      </w:pPr>
      <w:r>
        <w:t>г. Липецк, пл. Театральная, д.1</w:t>
      </w:r>
    </w:p>
    <w:p w14:paraId="6A1EBD8F" w14:textId="77777777" w:rsidR="008B164F" w:rsidRPr="00735BDE" w:rsidRDefault="008B164F" w:rsidP="008B164F">
      <w:pPr>
        <w:rPr>
          <w:sz w:val="28"/>
          <w:szCs w:val="28"/>
        </w:rPr>
      </w:pPr>
    </w:p>
    <w:p w14:paraId="385B12E2" w14:textId="5457A620" w:rsidR="008B164F" w:rsidRPr="00735BDE" w:rsidRDefault="008B164F" w:rsidP="008B16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5BDE">
        <w:rPr>
          <w:b/>
          <w:sz w:val="28"/>
          <w:szCs w:val="28"/>
        </w:rPr>
        <w:t xml:space="preserve">О Рабочей группе </w:t>
      </w:r>
      <w:bookmarkStart w:id="0" w:name="_Hlk41978182"/>
      <w:r w:rsidRPr="00735BDE">
        <w:rPr>
          <w:b/>
          <w:sz w:val="28"/>
          <w:szCs w:val="28"/>
        </w:rPr>
        <w:t xml:space="preserve">по приему избирательных документов, представляемых кандидатами в территориальную избирательную комиссию №2 Октябрьского округа города Липецка с полномочиями окружных избирательный комиссий №№ 3 и 4 на </w:t>
      </w:r>
      <w:r w:rsidRPr="00735BDE">
        <w:rPr>
          <w:b/>
          <w:bCs/>
          <w:sz w:val="28"/>
          <w:szCs w:val="28"/>
        </w:rPr>
        <w:t>выборах депутатов Липецкого областного Совета депутатов седьмого созыва</w:t>
      </w:r>
    </w:p>
    <w:bookmarkEnd w:id="0"/>
    <w:p w14:paraId="18F02C37" w14:textId="77777777" w:rsidR="008B164F" w:rsidRPr="00735BDE" w:rsidRDefault="008B164F" w:rsidP="00735BDE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14:paraId="0B1A2579" w14:textId="3FE384AB" w:rsidR="00735BDE" w:rsidRPr="00BC19C2" w:rsidRDefault="00735BDE" w:rsidP="00182588">
      <w:pPr>
        <w:tabs>
          <w:tab w:val="left" w:pos="-2250"/>
        </w:tabs>
        <w:ind w:firstLine="709"/>
        <w:jc w:val="both"/>
        <w:rPr>
          <w:sz w:val="28"/>
          <w:szCs w:val="28"/>
        </w:rPr>
      </w:pPr>
      <w:r w:rsidRPr="00BC19C2">
        <w:rPr>
          <w:color w:val="000000"/>
          <w:sz w:val="28"/>
          <w:szCs w:val="28"/>
        </w:rPr>
        <w:t>В   соответствии  со статьями 28, 29, частью 10 статьи 3</w:t>
      </w:r>
      <w:r>
        <w:rPr>
          <w:color w:val="000000"/>
          <w:sz w:val="28"/>
          <w:szCs w:val="28"/>
        </w:rPr>
        <w:t>7</w:t>
      </w:r>
      <w:r w:rsidRPr="00BC19C2">
        <w:rPr>
          <w:color w:val="000000"/>
          <w:sz w:val="28"/>
          <w:szCs w:val="28"/>
        </w:rPr>
        <w:t xml:space="preserve"> </w:t>
      </w:r>
      <w:r w:rsidRPr="00BC19C2">
        <w:rPr>
          <w:sz w:val="28"/>
          <w:szCs w:val="28"/>
        </w:rPr>
        <w:t xml:space="preserve">закона Липецкой области «О выборах депутатов Липецкого областного Совета депутатов» и </w:t>
      </w:r>
      <w:r w:rsidRPr="00BC19C2">
        <w:rPr>
          <w:bCs/>
          <w:iCs/>
          <w:sz w:val="28"/>
          <w:szCs w:val="28"/>
        </w:rPr>
        <w:t>постановлением избирательной комиссии Липецкой области от 19 апреля 2021 года</w:t>
      </w:r>
      <w:r>
        <w:rPr>
          <w:bCs/>
          <w:iCs/>
          <w:sz w:val="28"/>
          <w:szCs w:val="28"/>
        </w:rPr>
        <w:t xml:space="preserve"> </w:t>
      </w:r>
      <w:r w:rsidRPr="00BC19C2">
        <w:rPr>
          <w:bCs/>
          <w:iCs/>
          <w:sz w:val="28"/>
          <w:szCs w:val="28"/>
        </w:rPr>
        <w:t xml:space="preserve">№ </w:t>
      </w:r>
      <w:r w:rsidRPr="00BC19C2">
        <w:rPr>
          <w:color w:val="000000"/>
          <w:sz w:val="28"/>
          <w:szCs w:val="28"/>
        </w:rPr>
        <w:t>136/1088-6</w:t>
      </w:r>
      <w:r w:rsidRPr="00BC19C2">
        <w:rPr>
          <w:bCs/>
          <w:iCs/>
          <w:sz w:val="28"/>
          <w:szCs w:val="28"/>
        </w:rPr>
        <w:t xml:space="preserve">  «</w:t>
      </w:r>
      <w:r w:rsidRPr="00BC19C2">
        <w:rPr>
          <w:bCs/>
          <w:sz w:val="28"/>
        </w:rPr>
        <w:t>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</w:t>
      </w:r>
      <w:r w:rsidRPr="00BC19C2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</w:t>
      </w:r>
      <w:r w:rsidRPr="00BC19C2">
        <w:rPr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№ 2 Октябрьского округа города Липецка</w:t>
      </w:r>
      <w:r w:rsidRPr="00BC19C2">
        <w:rPr>
          <w:b/>
          <w:sz w:val="28"/>
          <w:szCs w:val="28"/>
        </w:rPr>
        <w:t xml:space="preserve"> постановляет</w:t>
      </w:r>
      <w:r w:rsidRPr="00BC19C2">
        <w:rPr>
          <w:sz w:val="28"/>
          <w:szCs w:val="28"/>
        </w:rPr>
        <w:t>:</w:t>
      </w:r>
    </w:p>
    <w:p w14:paraId="2B30E631" w14:textId="7242D306" w:rsidR="00735BDE" w:rsidRPr="002D1633" w:rsidRDefault="00182588" w:rsidP="00182588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BDE">
        <w:rPr>
          <w:sz w:val="28"/>
          <w:szCs w:val="28"/>
        </w:rPr>
        <w:t>С</w:t>
      </w:r>
      <w:r w:rsidR="00735BDE" w:rsidRPr="002D1633">
        <w:rPr>
          <w:sz w:val="28"/>
          <w:szCs w:val="28"/>
        </w:rPr>
        <w:t xml:space="preserve">оздать Рабочую группу </w:t>
      </w:r>
      <w:r w:rsidR="00735BDE" w:rsidRPr="002D1633">
        <w:rPr>
          <w:color w:val="000000"/>
          <w:sz w:val="28"/>
          <w:szCs w:val="28"/>
        </w:rPr>
        <w:t>по приему и проверке документов, представляемых в террито</w:t>
      </w:r>
      <w:r w:rsidR="00735BDE">
        <w:rPr>
          <w:color w:val="000000"/>
          <w:sz w:val="28"/>
          <w:szCs w:val="28"/>
        </w:rPr>
        <w:t xml:space="preserve">риальную избирательную комиссию </w:t>
      </w:r>
      <w:r w:rsidR="00735BDE">
        <w:rPr>
          <w:sz w:val="28"/>
          <w:szCs w:val="28"/>
        </w:rPr>
        <w:t>№ 2 Октябрьского округа города Липецка</w:t>
      </w:r>
      <w:r w:rsidR="00735BDE">
        <w:rPr>
          <w:color w:val="000000"/>
          <w:sz w:val="28"/>
          <w:szCs w:val="28"/>
        </w:rPr>
        <w:t xml:space="preserve"> </w:t>
      </w:r>
      <w:r w:rsidR="00735BDE" w:rsidRPr="00587849">
        <w:rPr>
          <w:b/>
          <w:sz w:val="28"/>
          <w:szCs w:val="28"/>
        </w:rPr>
        <w:t xml:space="preserve">с </w:t>
      </w:r>
      <w:r w:rsidR="00735BDE" w:rsidRPr="00562D26">
        <w:rPr>
          <w:sz w:val="28"/>
          <w:szCs w:val="28"/>
        </w:rPr>
        <w:t>полномочиями окружн</w:t>
      </w:r>
      <w:r w:rsidR="00735BDE">
        <w:rPr>
          <w:sz w:val="28"/>
          <w:szCs w:val="28"/>
        </w:rPr>
        <w:t>ых</w:t>
      </w:r>
      <w:r w:rsidR="00735BDE" w:rsidRPr="00562D26">
        <w:rPr>
          <w:sz w:val="28"/>
          <w:szCs w:val="28"/>
        </w:rPr>
        <w:t xml:space="preserve"> избирательн</w:t>
      </w:r>
      <w:r w:rsidR="00735BDE">
        <w:rPr>
          <w:sz w:val="28"/>
          <w:szCs w:val="28"/>
        </w:rPr>
        <w:t>ых</w:t>
      </w:r>
      <w:r w:rsidR="00735BDE" w:rsidRPr="00562D26">
        <w:rPr>
          <w:sz w:val="28"/>
          <w:szCs w:val="28"/>
        </w:rPr>
        <w:t xml:space="preserve"> комисси</w:t>
      </w:r>
      <w:r w:rsidR="00735BDE">
        <w:rPr>
          <w:sz w:val="28"/>
          <w:szCs w:val="28"/>
        </w:rPr>
        <w:t>й №№ 3 и 4</w:t>
      </w:r>
      <w:r w:rsidR="00735BDE" w:rsidRPr="00562D26">
        <w:rPr>
          <w:sz w:val="28"/>
          <w:szCs w:val="28"/>
        </w:rPr>
        <w:t xml:space="preserve"> </w:t>
      </w:r>
      <w:r w:rsidR="00735BDE" w:rsidRPr="00562D26">
        <w:rPr>
          <w:color w:val="000000"/>
          <w:sz w:val="28"/>
          <w:szCs w:val="28"/>
        </w:rPr>
        <w:t>кандидатами при п</w:t>
      </w:r>
      <w:r w:rsidR="00735BDE" w:rsidRPr="002D1633">
        <w:rPr>
          <w:color w:val="000000"/>
          <w:sz w:val="28"/>
          <w:szCs w:val="28"/>
        </w:rPr>
        <w:t xml:space="preserve">роведении выборов </w:t>
      </w:r>
      <w:r w:rsidR="00735BDE" w:rsidRPr="002D1633">
        <w:rPr>
          <w:rFonts w:ascii="Times New Roman CYR" w:hAnsi="Times New Roman CYR"/>
          <w:sz w:val="28"/>
          <w:szCs w:val="28"/>
        </w:rPr>
        <w:t xml:space="preserve">депутатов Липецкого </w:t>
      </w:r>
      <w:r w:rsidR="00735BDE">
        <w:rPr>
          <w:rFonts w:ascii="Times New Roman CYR" w:hAnsi="Times New Roman CYR"/>
          <w:sz w:val="28"/>
          <w:szCs w:val="28"/>
        </w:rPr>
        <w:t>областного</w:t>
      </w:r>
      <w:r w:rsidR="00735BDE" w:rsidRPr="002D1633">
        <w:rPr>
          <w:rFonts w:ascii="Times New Roman CYR" w:hAnsi="Times New Roman CYR"/>
          <w:sz w:val="28"/>
          <w:szCs w:val="28"/>
        </w:rPr>
        <w:t xml:space="preserve"> Совета депутатов </w:t>
      </w:r>
      <w:r w:rsidR="00735BDE">
        <w:rPr>
          <w:rFonts w:ascii="Times New Roman CYR" w:hAnsi="Times New Roman CYR"/>
          <w:sz w:val="28"/>
          <w:szCs w:val="28"/>
        </w:rPr>
        <w:t>седьмого</w:t>
      </w:r>
      <w:r w:rsidR="00735BDE" w:rsidRPr="002D1633">
        <w:rPr>
          <w:rFonts w:ascii="Times New Roman CYR" w:hAnsi="Times New Roman CYR"/>
          <w:sz w:val="28"/>
          <w:szCs w:val="28"/>
        </w:rPr>
        <w:t xml:space="preserve"> созыва 1</w:t>
      </w:r>
      <w:r w:rsidR="00735BDE">
        <w:rPr>
          <w:rFonts w:ascii="Times New Roman CYR" w:hAnsi="Times New Roman CYR"/>
          <w:sz w:val="28"/>
          <w:szCs w:val="28"/>
        </w:rPr>
        <w:t>9 сентября 2021</w:t>
      </w:r>
      <w:r w:rsidR="00735BDE" w:rsidRPr="002D1633">
        <w:rPr>
          <w:rFonts w:ascii="Times New Roman CYR" w:hAnsi="Times New Roman CYR"/>
          <w:sz w:val="28"/>
          <w:szCs w:val="28"/>
        </w:rPr>
        <w:t xml:space="preserve"> года (прилагается).</w:t>
      </w:r>
    </w:p>
    <w:p w14:paraId="31937BEF" w14:textId="56477CEF" w:rsidR="008B164F" w:rsidRDefault="00182588" w:rsidP="001825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182588">
        <w:rPr>
          <w:sz w:val="28"/>
          <w:szCs w:val="28"/>
        </w:rPr>
        <w:t xml:space="preserve">2. Утвердить положение о рабочей группе </w:t>
      </w:r>
      <w:r w:rsidRPr="00182588">
        <w:rPr>
          <w:color w:val="000000"/>
          <w:sz w:val="28"/>
          <w:szCs w:val="28"/>
        </w:rPr>
        <w:t xml:space="preserve">по приему и проверке документов, представляемых в территориальную избирательную комиссию </w:t>
      </w:r>
      <w:r w:rsidRPr="00182588">
        <w:rPr>
          <w:sz w:val="28"/>
          <w:szCs w:val="28"/>
        </w:rPr>
        <w:t>№ 2 Октябрьского округа города Липецка</w:t>
      </w:r>
      <w:r w:rsidRPr="00182588">
        <w:rPr>
          <w:color w:val="000000"/>
          <w:sz w:val="28"/>
          <w:szCs w:val="28"/>
        </w:rPr>
        <w:t xml:space="preserve"> </w:t>
      </w:r>
      <w:r w:rsidRPr="00182588">
        <w:rPr>
          <w:b/>
          <w:sz w:val="28"/>
          <w:szCs w:val="28"/>
        </w:rPr>
        <w:t xml:space="preserve">с </w:t>
      </w:r>
      <w:r w:rsidRPr="00182588">
        <w:rPr>
          <w:sz w:val="28"/>
          <w:szCs w:val="28"/>
        </w:rPr>
        <w:t xml:space="preserve">полномочиями окружных избирательных комиссий №№ 3 и 4 </w:t>
      </w:r>
      <w:r w:rsidRPr="00182588">
        <w:rPr>
          <w:color w:val="000000"/>
          <w:sz w:val="28"/>
          <w:szCs w:val="28"/>
        </w:rPr>
        <w:t xml:space="preserve">кандидатами при проведении выборов </w:t>
      </w:r>
      <w:r w:rsidRPr="00182588">
        <w:rPr>
          <w:rFonts w:ascii="Times New Roman CYR" w:hAnsi="Times New Roman CYR"/>
          <w:sz w:val="28"/>
          <w:szCs w:val="28"/>
        </w:rPr>
        <w:t>депутатов Липецкого областного Совета депутатов седьмого созыва</w:t>
      </w:r>
      <w:r>
        <w:rPr>
          <w:rFonts w:ascii="Times New Roman CYR" w:hAnsi="Times New Roman CYR"/>
          <w:sz w:val="28"/>
          <w:szCs w:val="28"/>
        </w:rPr>
        <w:t>.</w:t>
      </w:r>
    </w:p>
    <w:p w14:paraId="0F90B2D8" w14:textId="3B450050" w:rsidR="00182588" w:rsidRPr="008839DC" w:rsidRDefault="00182588" w:rsidP="00182588">
      <w:pPr>
        <w:pStyle w:val="a8"/>
        <w:ind w:firstLine="709"/>
        <w:rPr>
          <w:lang w:val="ru-RU" w:eastAsia="ru-RU"/>
        </w:rPr>
      </w:pPr>
      <w:r>
        <w:rPr>
          <w:rFonts w:ascii="Times New Roman CYR" w:hAnsi="Times New Roman CYR"/>
          <w:szCs w:val="28"/>
        </w:rPr>
        <w:t xml:space="preserve">3. Разместить </w:t>
      </w:r>
      <w:r w:rsidRPr="008839DC">
        <w:rPr>
          <w:lang w:val="ru-RU" w:eastAsia="ru-RU"/>
        </w:rPr>
        <w:t>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084F5A02" w14:textId="3D29D007" w:rsidR="00182588" w:rsidRPr="00182588" w:rsidRDefault="00182588" w:rsidP="00735B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923"/>
        <w:gridCol w:w="251"/>
      </w:tblGrid>
      <w:tr w:rsidR="001B2B75" w:rsidRPr="00F81197" w14:paraId="13228A52" w14:textId="77777777" w:rsidTr="00182588">
        <w:trPr>
          <w:gridAfter w:val="1"/>
          <w:wAfter w:w="251" w:type="dxa"/>
        </w:trPr>
        <w:tc>
          <w:tcPr>
            <w:tcW w:w="9851" w:type="dxa"/>
            <w:gridSpan w:val="2"/>
          </w:tcPr>
          <w:p w14:paraId="02065B3E" w14:textId="77777777" w:rsidR="001B2B75" w:rsidRPr="004E5519" w:rsidRDefault="001B2B75" w:rsidP="009A2DB1">
            <w:pPr>
              <w:spacing w:line="360" w:lineRule="auto"/>
              <w:jc w:val="both"/>
              <w:rPr>
                <w:sz w:val="10"/>
                <w:szCs w:val="10"/>
                <w:highlight w:val="yellow"/>
              </w:rPr>
            </w:pPr>
          </w:p>
          <w:p w14:paraId="48E6FDB7" w14:textId="77777777" w:rsidR="001B2B75" w:rsidRPr="004E5519" w:rsidRDefault="001B2B75" w:rsidP="009A2DB1">
            <w:pPr>
              <w:spacing w:line="360" w:lineRule="auto"/>
              <w:jc w:val="both"/>
              <w:rPr>
                <w:sz w:val="10"/>
                <w:szCs w:val="10"/>
                <w:highlight w:val="yellow"/>
              </w:rPr>
            </w:pPr>
          </w:p>
          <w:p w14:paraId="60A0250E" w14:textId="77777777" w:rsidR="001B2B75" w:rsidRPr="004E5519" w:rsidRDefault="001B2B75" w:rsidP="009A2DB1">
            <w:pPr>
              <w:spacing w:line="360" w:lineRule="auto"/>
              <w:jc w:val="both"/>
              <w:rPr>
                <w:sz w:val="10"/>
                <w:szCs w:val="10"/>
                <w:highlight w:val="yellow"/>
              </w:rPr>
            </w:pPr>
          </w:p>
          <w:p w14:paraId="7ABA772E" w14:textId="77777777" w:rsidR="001B2B75" w:rsidRPr="004E5519" w:rsidRDefault="001B2B75" w:rsidP="009A2DB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74922329"/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14:paraId="5E7B0B88" w14:textId="77777777" w:rsidR="001B2B75" w:rsidRPr="004E5519" w:rsidRDefault="001B2B75" w:rsidP="009A2DB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 ДЕЕВ</w:t>
            </w:r>
          </w:p>
          <w:p w14:paraId="317648EF" w14:textId="77777777" w:rsidR="001B2B75" w:rsidRPr="004E5519" w:rsidRDefault="001B2B75" w:rsidP="009A2DB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8BB36" w14:textId="77777777" w:rsidR="001B2B75" w:rsidRPr="004E5519" w:rsidRDefault="001B2B75" w:rsidP="009A2DB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2DDE9" w14:textId="77777777" w:rsidR="001B2B75" w:rsidRPr="004E5519" w:rsidRDefault="001B2B75" w:rsidP="009A2DB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территориальной</w:t>
            </w:r>
          </w:p>
          <w:p w14:paraId="2757FE93" w14:textId="77777777" w:rsidR="001B2B75" w:rsidRDefault="001B2B75" w:rsidP="009A2DB1">
            <w:pPr>
              <w:pStyle w:val="ConsPlusNonformat"/>
              <w:rPr>
                <w:sz w:val="28"/>
              </w:rPr>
            </w:pP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</w:t>
            </w:r>
            <w:r w:rsidRPr="004E55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А.С. КАКУНИНА</w:t>
            </w:r>
          </w:p>
          <w:bookmarkEnd w:id="1"/>
          <w:p w14:paraId="75CE1974" w14:textId="77777777" w:rsidR="001B2B75" w:rsidRPr="00DE65D2" w:rsidRDefault="001B2B75" w:rsidP="009A2DB1">
            <w:pPr>
              <w:pStyle w:val="a8"/>
              <w:spacing w:line="360" w:lineRule="auto"/>
              <w:ind w:firstLine="709"/>
              <w:rPr>
                <w:lang w:val="ru-RU" w:eastAsia="ru-RU"/>
              </w:rPr>
            </w:pPr>
          </w:p>
          <w:p w14:paraId="7EB35EFD" w14:textId="77777777" w:rsidR="001B2B75" w:rsidRPr="00F81197" w:rsidRDefault="001B2B75" w:rsidP="009A2DB1">
            <w:pPr>
              <w:tabs>
                <w:tab w:val="left" w:pos="-2250"/>
              </w:tabs>
              <w:jc w:val="both"/>
            </w:pPr>
          </w:p>
        </w:tc>
      </w:tr>
      <w:tr w:rsidR="008B164F" w:rsidRPr="00E027A7" w14:paraId="01FA1D73" w14:textId="77777777" w:rsidTr="001825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928" w:type="dxa"/>
          <w:trHeight w:val="567"/>
        </w:trPr>
        <w:tc>
          <w:tcPr>
            <w:tcW w:w="5174" w:type="dxa"/>
            <w:gridSpan w:val="2"/>
          </w:tcPr>
          <w:p w14:paraId="0EAC45B0" w14:textId="77777777" w:rsidR="008B164F" w:rsidRPr="005615CA" w:rsidRDefault="008B164F" w:rsidP="009A2DB1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Приложение №</w:t>
            </w:r>
            <w:r w:rsidRPr="005615CA">
              <w:rPr>
                <w:bCs/>
                <w:szCs w:val="24"/>
              </w:rPr>
              <w:t>1</w:t>
            </w:r>
          </w:p>
        </w:tc>
      </w:tr>
      <w:tr w:rsidR="008B164F" w:rsidRPr="00E027A7" w14:paraId="18832BE8" w14:textId="77777777" w:rsidTr="001825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928" w:type="dxa"/>
        </w:trPr>
        <w:tc>
          <w:tcPr>
            <w:tcW w:w="5174" w:type="dxa"/>
            <w:gridSpan w:val="2"/>
          </w:tcPr>
          <w:p w14:paraId="73487434" w14:textId="77777777" w:rsidR="008B164F" w:rsidRDefault="008B164F" w:rsidP="00A43831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615CA">
              <w:rPr>
                <w:bCs/>
                <w:szCs w:val="24"/>
              </w:rPr>
              <w:t>УТВЕРЖД</w:t>
            </w:r>
            <w:r>
              <w:rPr>
                <w:bCs/>
                <w:szCs w:val="24"/>
              </w:rPr>
              <w:t>ЕН</w:t>
            </w:r>
          </w:p>
          <w:p w14:paraId="3D9EEE46" w14:textId="77777777" w:rsidR="008B164F" w:rsidRDefault="008B164F" w:rsidP="009A2DB1">
            <w:pPr>
              <w:tabs>
                <w:tab w:val="left" w:pos="812"/>
              </w:tabs>
              <w:autoSpaceDE w:val="0"/>
              <w:autoSpaceDN w:val="0"/>
              <w:adjustRightInd w:val="0"/>
              <w:ind w:firstLine="952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постановлением территориальной</w:t>
            </w:r>
          </w:p>
          <w:p w14:paraId="1527B5E5" w14:textId="77777777" w:rsidR="008B164F" w:rsidRDefault="008B164F" w:rsidP="009A2DB1">
            <w:pPr>
              <w:tabs>
                <w:tab w:val="left" w:pos="812"/>
              </w:tabs>
              <w:autoSpaceDE w:val="0"/>
              <w:autoSpaceDN w:val="0"/>
              <w:adjustRightInd w:val="0"/>
              <w:ind w:firstLine="95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избирательной комиссией №2</w:t>
            </w:r>
          </w:p>
          <w:p w14:paraId="2F79CA17" w14:textId="77777777" w:rsidR="008B164F" w:rsidRDefault="008B164F" w:rsidP="009A2DB1">
            <w:pPr>
              <w:tabs>
                <w:tab w:val="left" w:pos="812"/>
              </w:tabs>
              <w:autoSpaceDE w:val="0"/>
              <w:autoSpaceDN w:val="0"/>
              <w:adjustRightInd w:val="0"/>
              <w:ind w:firstLine="95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Октябрьского округа</w:t>
            </w:r>
          </w:p>
          <w:p w14:paraId="6E4A9B29" w14:textId="77777777" w:rsidR="008B164F" w:rsidRDefault="008B164F" w:rsidP="009A2DB1">
            <w:pPr>
              <w:tabs>
                <w:tab w:val="left" w:pos="812"/>
              </w:tabs>
              <w:autoSpaceDE w:val="0"/>
              <w:autoSpaceDN w:val="0"/>
              <w:adjustRightInd w:val="0"/>
              <w:ind w:firstLine="95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города Липецка </w:t>
            </w:r>
          </w:p>
          <w:p w14:paraId="3F2F66AF" w14:textId="22396DE6" w:rsidR="008B164F" w:rsidRPr="005615CA" w:rsidRDefault="008B164F" w:rsidP="009A2DB1">
            <w:pPr>
              <w:tabs>
                <w:tab w:val="left" w:pos="812"/>
              </w:tabs>
              <w:autoSpaceDE w:val="0"/>
              <w:autoSpaceDN w:val="0"/>
              <w:adjustRightInd w:val="0"/>
              <w:ind w:firstLine="95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от </w:t>
            </w:r>
            <w:r w:rsidR="00A43831">
              <w:rPr>
                <w:bCs/>
                <w:szCs w:val="24"/>
              </w:rPr>
              <w:t>18</w:t>
            </w:r>
            <w:r>
              <w:rPr>
                <w:bCs/>
                <w:szCs w:val="24"/>
              </w:rPr>
              <w:t xml:space="preserve"> </w:t>
            </w:r>
            <w:r w:rsidR="00A43831">
              <w:rPr>
                <w:bCs/>
                <w:szCs w:val="24"/>
              </w:rPr>
              <w:t>июня</w:t>
            </w:r>
            <w:r>
              <w:rPr>
                <w:bCs/>
                <w:szCs w:val="24"/>
              </w:rPr>
              <w:t xml:space="preserve"> 2021 года №</w:t>
            </w:r>
            <w:r w:rsidR="00182588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/</w:t>
            </w:r>
            <w:r w:rsidR="00182588">
              <w:rPr>
                <w:bCs/>
                <w:szCs w:val="24"/>
              </w:rPr>
              <w:t>5</w:t>
            </w:r>
            <w:r w:rsidR="00A43831">
              <w:rPr>
                <w:bCs/>
                <w:szCs w:val="24"/>
              </w:rPr>
              <w:t>4</w:t>
            </w:r>
          </w:p>
        </w:tc>
      </w:tr>
    </w:tbl>
    <w:p w14:paraId="7B381F12" w14:textId="77777777" w:rsidR="008B164F" w:rsidRPr="0058658F" w:rsidRDefault="008B164F" w:rsidP="008B164F">
      <w:pPr>
        <w:autoSpaceDE w:val="0"/>
        <w:autoSpaceDN w:val="0"/>
        <w:adjustRightInd w:val="0"/>
        <w:jc w:val="both"/>
        <w:rPr>
          <w:bCs/>
        </w:rPr>
      </w:pPr>
    </w:p>
    <w:p w14:paraId="330CF3CB" w14:textId="77777777" w:rsidR="008B164F" w:rsidRPr="0058658F" w:rsidRDefault="008B164F" w:rsidP="008B164F">
      <w:pPr>
        <w:autoSpaceDE w:val="0"/>
        <w:autoSpaceDN w:val="0"/>
        <w:adjustRightInd w:val="0"/>
        <w:jc w:val="both"/>
        <w:rPr>
          <w:bCs/>
        </w:rPr>
      </w:pPr>
    </w:p>
    <w:p w14:paraId="12F18F23" w14:textId="77777777" w:rsidR="008B164F" w:rsidRDefault="008B164F" w:rsidP="00735B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14:paraId="018ABCEF" w14:textId="217C1FD6" w:rsidR="008B164F" w:rsidRDefault="008B164F" w:rsidP="00A43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Рабочей группы </w:t>
      </w:r>
      <w:r w:rsidR="00A43831" w:rsidRPr="00735BDE">
        <w:rPr>
          <w:b/>
          <w:sz w:val="28"/>
          <w:szCs w:val="28"/>
        </w:rPr>
        <w:t xml:space="preserve">по приему избирательных документов, представляемых кандидатами в территориальную избирательную комиссию №2 Октябрьского округа города Липецка с полномочиями окружных избирательный комиссий №№ 3 и 4 на </w:t>
      </w:r>
      <w:r w:rsidR="00A43831" w:rsidRPr="00735BDE">
        <w:rPr>
          <w:b/>
          <w:bCs/>
          <w:sz w:val="28"/>
          <w:szCs w:val="28"/>
        </w:rPr>
        <w:t xml:space="preserve">выборах депутатов Липецкого </w:t>
      </w:r>
      <w:r w:rsidR="00A43831" w:rsidRPr="00F82D76">
        <w:rPr>
          <w:b/>
          <w:bCs/>
          <w:sz w:val="28"/>
          <w:szCs w:val="28"/>
        </w:rPr>
        <w:t>областного Совета депутатов седьмого созыва</w:t>
      </w:r>
    </w:p>
    <w:p w14:paraId="31DE1CE6" w14:textId="77777777" w:rsidR="00F82D76" w:rsidRPr="00F82D76" w:rsidRDefault="00F82D76" w:rsidP="00A43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03" w:type="dxa"/>
        <w:tblCellSpacing w:w="28" w:type="dxa"/>
        <w:tblLook w:val="04A0" w:firstRow="1" w:lastRow="0" w:firstColumn="1" w:lastColumn="0" w:noHBand="0" w:noVBand="1"/>
      </w:tblPr>
      <w:tblGrid>
        <w:gridCol w:w="2999"/>
        <w:gridCol w:w="6804"/>
      </w:tblGrid>
      <w:tr w:rsidR="008B164F" w:rsidRPr="00F82D76" w14:paraId="234D405F" w14:textId="77777777" w:rsidTr="009A2DB1">
        <w:trPr>
          <w:tblCellSpacing w:w="28" w:type="dxa"/>
        </w:trPr>
        <w:tc>
          <w:tcPr>
            <w:tcW w:w="2915" w:type="dxa"/>
          </w:tcPr>
          <w:p w14:paraId="427ED16D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Деев </w:t>
            </w:r>
          </w:p>
          <w:p w14:paraId="163509B5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6720" w:type="dxa"/>
          </w:tcPr>
          <w:p w14:paraId="0BC23229" w14:textId="77777777" w:rsidR="008B164F" w:rsidRPr="00F82D76" w:rsidRDefault="008B164F" w:rsidP="009A2D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председатель территориальной избирательной комиссии № 2 Октябрьского округа города Липецка </w:t>
            </w:r>
          </w:p>
          <w:p w14:paraId="340AF45C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82D76">
              <w:rPr>
                <w:b/>
                <w:sz w:val="28"/>
                <w:szCs w:val="28"/>
              </w:rPr>
              <w:t>руководитель Рабочей группы</w:t>
            </w:r>
          </w:p>
        </w:tc>
      </w:tr>
      <w:tr w:rsidR="008B164F" w:rsidRPr="00F82D76" w14:paraId="3A0616A4" w14:textId="77777777" w:rsidTr="009A2DB1">
        <w:trPr>
          <w:tblCellSpacing w:w="28" w:type="dxa"/>
        </w:trPr>
        <w:tc>
          <w:tcPr>
            <w:tcW w:w="2915" w:type="dxa"/>
          </w:tcPr>
          <w:p w14:paraId="65AB32E8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Кожевникова </w:t>
            </w:r>
          </w:p>
          <w:p w14:paraId="73CCE989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6720" w:type="dxa"/>
          </w:tcPr>
          <w:p w14:paraId="17282542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  <w:p w14:paraId="7A2A0B72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82D76">
              <w:rPr>
                <w:b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8B164F" w:rsidRPr="00F82D76" w14:paraId="5DE60D22" w14:textId="77777777" w:rsidTr="009A2DB1">
        <w:trPr>
          <w:tblCellSpacing w:w="28" w:type="dxa"/>
        </w:trPr>
        <w:tc>
          <w:tcPr>
            <w:tcW w:w="2915" w:type="dxa"/>
          </w:tcPr>
          <w:p w14:paraId="169F5FBB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Какунина </w:t>
            </w:r>
          </w:p>
          <w:p w14:paraId="7B284DB7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 xml:space="preserve">Алина Сергеевна </w:t>
            </w:r>
          </w:p>
        </w:tc>
        <w:tc>
          <w:tcPr>
            <w:tcW w:w="6720" w:type="dxa"/>
          </w:tcPr>
          <w:p w14:paraId="543A5BF1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82D76">
              <w:rPr>
                <w:color w:val="000000"/>
                <w:sz w:val="28"/>
                <w:szCs w:val="28"/>
              </w:rPr>
              <w:t xml:space="preserve">секретарь </w:t>
            </w:r>
            <w:r w:rsidRPr="00F82D76">
              <w:rPr>
                <w:sz w:val="28"/>
                <w:szCs w:val="28"/>
              </w:rPr>
              <w:t>территориальной избирательной комиссии № 2 Октябрьского округа города Липецка</w:t>
            </w:r>
            <w:r w:rsidRPr="00F82D76">
              <w:rPr>
                <w:b/>
                <w:sz w:val="28"/>
                <w:szCs w:val="28"/>
              </w:rPr>
              <w:t xml:space="preserve"> секретарь Рабочей группы</w:t>
            </w:r>
          </w:p>
        </w:tc>
      </w:tr>
      <w:tr w:rsidR="008B164F" w:rsidRPr="00F82D76" w14:paraId="5F849F8C" w14:textId="77777777" w:rsidTr="009A2DB1">
        <w:trPr>
          <w:tblCellSpacing w:w="28" w:type="dxa"/>
        </w:trPr>
        <w:tc>
          <w:tcPr>
            <w:tcW w:w="9691" w:type="dxa"/>
            <w:gridSpan w:val="2"/>
          </w:tcPr>
          <w:p w14:paraId="5D92B05C" w14:textId="77777777" w:rsidR="008B164F" w:rsidRPr="00F82D76" w:rsidRDefault="008B164F" w:rsidP="009A2D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D76">
              <w:rPr>
                <w:b/>
                <w:sz w:val="28"/>
                <w:szCs w:val="28"/>
              </w:rPr>
              <w:t>Члены Рабочей группы</w:t>
            </w:r>
            <w:r w:rsidRPr="00F82D76">
              <w:rPr>
                <w:sz w:val="28"/>
                <w:szCs w:val="28"/>
              </w:rPr>
              <w:t>:</w:t>
            </w:r>
          </w:p>
        </w:tc>
      </w:tr>
    </w:tbl>
    <w:p w14:paraId="7DE9ADCC" w14:textId="77777777" w:rsidR="008B164F" w:rsidRPr="00F82D76" w:rsidRDefault="008B164F" w:rsidP="008B164F">
      <w:pPr>
        <w:rPr>
          <w:vanish/>
          <w:sz w:val="28"/>
          <w:szCs w:val="28"/>
        </w:rPr>
      </w:pPr>
    </w:p>
    <w:tbl>
      <w:tblPr>
        <w:tblW w:w="9819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804"/>
      </w:tblGrid>
      <w:tr w:rsidR="008B164F" w:rsidRPr="00F82D76" w14:paraId="79D24352" w14:textId="77777777" w:rsidTr="009A2DB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8BD798D" w14:textId="77777777" w:rsidR="008B164F" w:rsidRPr="00F82D76" w:rsidRDefault="008B164F" w:rsidP="009A2DB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2D76">
              <w:rPr>
                <w:sz w:val="28"/>
                <w:szCs w:val="28"/>
              </w:rPr>
              <w:t>Аникин Д.А.</w:t>
            </w:r>
          </w:p>
          <w:p w14:paraId="67ECD53C" w14:textId="77777777" w:rsidR="008B164F" w:rsidRPr="00F82D76" w:rsidRDefault="008B164F" w:rsidP="009A2DB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2D76">
              <w:rPr>
                <w:color w:val="000000"/>
                <w:sz w:val="28"/>
                <w:szCs w:val="28"/>
              </w:rPr>
              <w:t>Лосева О.Н.</w:t>
            </w:r>
          </w:p>
          <w:p w14:paraId="03BD55C9" w14:textId="77777777" w:rsidR="008B164F" w:rsidRPr="00F82D76" w:rsidRDefault="008B164F" w:rsidP="009A2DB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190C495" w14:textId="77777777" w:rsidR="008B164F" w:rsidRPr="00F82D76" w:rsidRDefault="008B164F" w:rsidP="009A2DB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2D76">
              <w:rPr>
                <w:color w:val="000000"/>
                <w:sz w:val="28"/>
                <w:szCs w:val="28"/>
              </w:rPr>
              <w:t xml:space="preserve">Члены </w:t>
            </w:r>
            <w:r w:rsidRPr="00F82D76">
              <w:rPr>
                <w:sz w:val="28"/>
                <w:szCs w:val="28"/>
              </w:rPr>
              <w:t>территориальной избирательной комиссии № 2 Октябрьского округа города Липецка с правом решающего голоса</w:t>
            </w:r>
          </w:p>
        </w:tc>
      </w:tr>
      <w:tr w:rsidR="008B164F" w:rsidRPr="00812F5C" w14:paraId="2E51A262" w14:textId="77777777" w:rsidTr="009A2DB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6D8DAA" w14:textId="77777777" w:rsidR="008B164F" w:rsidRDefault="008B164F" w:rsidP="009A2DB1">
            <w:pPr>
              <w:spacing w:line="276" w:lineRule="auto"/>
              <w:jc w:val="both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FE06364" w14:textId="77777777" w:rsidR="008B164F" w:rsidRDefault="008B164F" w:rsidP="009A2DB1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B164F" w:rsidRPr="00812F5C" w14:paraId="0B8E3312" w14:textId="77777777" w:rsidTr="009A2DB1"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F6624" w14:textId="77777777" w:rsidR="008B164F" w:rsidRPr="00AF53FB" w:rsidRDefault="008B164F" w:rsidP="009A2DB1">
            <w:pPr>
              <w:pStyle w:val="1"/>
              <w:shd w:val="clear" w:color="auto" w:fill="FFFFFF"/>
              <w:spacing w:before="0" w:after="144" w:line="263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F53F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Привлеченные специалисты: Управления Министерства внутренних дел РФ по Липецкой области, Управления по вопросам миграции УМВД России по Липецкой области, а также иные лица в соответствии с пунктом 19 статьи 28 Федерального закона от 12.06.2002 года № 67-ФЗ «</w:t>
            </w:r>
            <w:r w:rsidRPr="00AF53F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 основных гарантиях избирательных прав и права на участие в референдуме граждан Российской Федерации»</w:t>
            </w:r>
          </w:p>
        </w:tc>
      </w:tr>
    </w:tbl>
    <w:p w14:paraId="6949F1A8" w14:textId="77777777" w:rsidR="008B164F" w:rsidRDefault="008B164F" w:rsidP="008B164F">
      <w:pPr>
        <w:autoSpaceDE w:val="0"/>
        <w:autoSpaceDN w:val="0"/>
        <w:adjustRightInd w:val="0"/>
        <w:jc w:val="both"/>
      </w:pPr>
    </w:p>
    <w:p w14:paraId="54C8BC1B" w14:textId="77777777" w:rsidR="008B164F" w:rsidRDefault="008B164F" w:rsidP="008B164F">
      <w:pPr>
        <w:autoSpaceDE w:val="0"/>
        <w:autoSpaceDN w:val="0"/>
        <w:adjustRightInd w:val="0"/>
        <w:jc w:val="both"/>
      </w:pPr>
    </w:p>
    <w:p w14:paraId="33E53E3D" w14:textId="77777777" w:rsidR="008B164F" w:rsidRDefault="008B164F" w:rsidP="008B164F">
      <w:pPr>
        <w:autoSpaceDE w:val="0"/>
        <w:autoSpaceDN w:val="0"/>
        <w:adjustRightInd w:val="0"/>
        <w:jc w:val="both"/>
      </w:pPr>
    </w:p>
    <w:p w14:paraId="7C91693F" w14:textId="77777777" w:rsidR="008B164F" w:rsidRDefault="008B164F" w:rsidP="00A43831">
      <w:pPr>
        <w:autoSpaceDE w:val="0"/>
        <w:autoSpaceDN w:val="0"/>
        <w:adjustRightInd w:val="0"/>
        <w:ind w:left="5670"/>
        <w:jc w:val="center"/>
        <w:rPr>
          <w:bCs/>
          <w:szCs w:val="24"/>
        </w:rPr>
      </w:pPr>
      <w:r>
        <w:br w:type="page"/>
      </w:r>
      <w:r w:rsidRPr="005615CA">
        <w:rPr>
          <w:bCs/>
          <w:szCs w:val="24"/>
        </w:rPr>
        <w:lastRenderedPageBreak/>
        <w:t>УТВЕРЖД</w:t>
      </w:r>
      <w:r>
        <w:rPr>
          <w:bCs/>
          <w:szCs w:val="24"/>
        </w:rPr>
        <w:t>ЕН</w:t>
      </w:r>
    </w:p>
    <w:p w14:paraId="717F93D7" w14:textId="77777777" w:rsidR="008B164F" w:rsidRDefault="008B164F" w:rsidP="008B164F">
      <w:pPr>
        <w:tabs>
          <w:tab w:val="left" w:pos="812"/>
        </w:tabs>
        <w:autoSpaceDE w:val="0"/>
        <w:autoSpaceDN w:val="0"/>
        <w:adjustRightInd w:val="0"/>
        <w:ind w:left="5670"/>
        <w:jc w:val="both"/>
        <w:rPr>
          <w:bCs/>
          <w:szCs w:val="24"/>
        </w:rPr>
      </w:pPr>
      <w:r>
        <w:rPr>
          <w:bCs/>
          <w:szCs w:val="24"/>
        </w:rPr>
        <w:t>постановлением территориальной избирательной комиссией №2 Октябрьского округа города Липецка</w:t>
      </w:r>
    </w:p>
    <w:p w14:paraId="465785FB" w14:textId="3CAE3DB2" w:rsidR="008B164F" w:rsidRDefault="00A43831" w:rsidP="008B164F">
      <w:pPr>
        <w:autoSpaceDE w:val="0"/>
        <w:autoSpaceDN w:val="0"/>
        <w:adjustRightInd w:val="0"/>
        <w:ind w:left="6096" w:firstLine="6"/>
        <w:rPr>
          <w:b/>
          <w:bCs/>
        </w:rPr>
      </w:pPr>
      <w:r>
        <w:rPr>
          <w:bCs/>
          <w:szCs w:val="24"/>
        </w:rPr>
        <w:t>от 18 июня 2021 года № 8/54</w:t>
      </w:r>
    </w:p>
    <w:p w14:paraId="26BBD729" w14:textId="77777777" w:rsidR="008B164F" w:rsidRDefault="008B164F" w:rsidP="008B164F">
      <w:pPr>
        <w:autoSpaceDE w:val="0"/>
        <w:autoSpaceDN w:val="0"/>
        <w:adjustRightInd w:val="0"/>
        <w:ind w:left="6096"/>
        <w:rPr>
          <w:b/>
          <w:bCs/>
        </w:rPr>
      </w:pPr>
    </w:p>
    <w:p w14:paraId="0F3A05BB" w14:textId="77777777" w:rsidR="008B164F" w:rsidRDefault="008B164F" w:rsidP="00A43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0B461CAE" w14:textId="1A1C33E9" w:rsidR="008B164F" w:rsidRDefault="008B164F" w:rsidP="00A43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br/>
      </w:r>
      <w:r w:rsidR="00A43831" w:rsidRPr="00A43831">
        <w:rPr>
          <w:b/>
          <w:bCs/>
          <w:sz w:val="28"/>
          <w:szCs w:val="28"/>
        </w:rPr>
        <w:t xml:space="preserve">О рабочей группе </w:t>
      </w:r>
      <w:r w:rsidR="00A43831" w:rsidRPr="00A43831">
        <w:rPr>
          <w:b/>
          <w:sz w:val="28"/>
          <w:szCs w:val="28"/>
        </w:rPr>
        <w:t>по</w:t>
      </w:r>
      <w:r w:rsidR="00A43831" w:rsidRPr="00735BDE">
        <w:rPr>
          <w:b/>
          <w:sz w:val="28"/>
          <w:szCs w:val="28"/>
        </w:rPr>
        <w:t xml:space="preserve"> приему избирательных документов, представляемых кандидатами в территориальную избирательную комиссию №2 Октябрьского округа города Липецка с полномочиями окружных избирательный комиссий №№ 3 и 4 на </w:t>
      </w:r>
      <w:r w:rsidR="00A43831" w:rsidRPr="00735BDE">
        <w:rPr>
          <w:b/>
          <w:bCs/>
          <w:sz w:val="28"/>
          <w:szCs w:val="28"/>
        </w:rPr>
        <w:t>выборах депутатов Липецкого областного Совета депутатов седьмого созыва</w:t>
      </w:r>
    </w:p>
    <w:p w14:paraId="47003CF3" w14:textId="6F2EFECE" w:rsidR="00A43831" w:rsidRDefault="00A43831" w:rsidP="00A43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260C2A" w14:textId="77777777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 Общие положения</w:t>
      </w:r>
    </w:p>
    <w:p w14:paraId="48801BEF" w14:textId="0408CDED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1.1. Настоящее Положение о Рабочей группе по приему и проверке избирательных документов, представляемых кандидатами в окружную избирательную комиссию при проведении выборов депутатов Липецкого областного Совета депутатов седьмого созыва (далее – Положение), определяет порядок работы Рабочей группы по приему и проверке избирательных документов, представляемых кандидатами в окружную избирательную комиссию при проведении выборов депутатов Липецкого областного Совета депутатов седьмого созыва (далее – Рабочая группа), с избирательными документами, представляемыми кандидатами, выдвинутыми избирательными объединениями по одномандатному избирательному округу, кандидатами, выдвинутыми в порядке самовыдвижения, в соответствии со статьями 15, 28, 30, 36, 37, 38, 41, 42, 57 закона Липецкой области «О выборах депутатов Липецкого областного Совета депутатов».</w:t>
      </w:r>
    </w:p>
    <w:p w14:paraId="434F3A1A" w14:textId="21EF9A22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1.2. В целях организации проверки достоверности сведений,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содержащихся в избирательных документах, представляемых кандидатами в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депутаты Липецкого областного Совета депутатов седьмого созыва,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территориальная избирательная комиссия с полномочиями окружной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избирательной комиссии по выборам депутатов Липецкого областного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Совета депутатов седьмого созыва (далее – Комиссия), создает Рабочую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группу.</w:t>
      </w:r>
    </w:p>
    <w:p w14:paraId="3451DD4B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1.3. Рабочая группа в своей деятельности руководствуется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федеральными законами «Об основных гарантиях избирательных прав 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права на участие в референдуме граждан Российской Федерации»,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«О выборах депутатов Липецкого областного Совета депутатов» (далее –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Областной закон), «О персональных данных», «О Государственной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автоматизированной системе Российской Федерации «Выборы», иными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федеральными и областными законами, Положением об обеспечении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безопасности информации в Государственной автоматизированной системе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Российской Федерации «Выборы», утвержденным постановлением ЦИК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России от 23 июля 2003 года № 19/137-4, иными нормативными актами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Центральной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Российской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Федерации,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постановлением избирательной комиссии Липецкой области от 19 апреля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 xml:space="preserve">2021 года № 136/1088-6 «О возложении полномочий </w:t>
      </w:r>
      <w:r w:rsidRPr="001B2B75">
        <w:rPr>
          <w:color w:val="000000"/>
          <w:sz w:val="28"/>
          <w:szCs w:val="28"/>
        </w:rPr>
        <w:lastRenderedPageBreak/>
        <w:t>окружных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избирательных комиссий по выборам депутатов Липецкого областного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Совета депутатов седьмого созыва на территориальные избирательные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комиссии», иными постановлениями избирательной комиссии Липецкой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области, настоящим Положением.</w:t>
      </w:r>
      <w:r w:rsidR="00E03F4C" w:rsidRPr="001B2B75">
        <w:rPr>
          <w:color w:val="000000"/>
          <w:sz w:val="28"/>
          <w:szCs w:val="28"/>
        </w:rPr>
        <w:t xml:space="preserve"> </w:t>
      </w:r>
    </w:p>
    <w:p w14:paraId="02848478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1.4. Рабочая группа в своей деятельности использует информационные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ресурсы Государственной автоматизированной системы Российской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Федерации «Выборы» (далее – ГАС «Выборы»), сведения, предоставленные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органами регистрационного учета граждан Российской Федерации по месту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пребывания и по месту жительства в пределах Российской Федерации,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иными государственными органами, организациями и учреждениями по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представлениям, запросам и обращениям Комиссии.</w:t>
      </w:r>
    </w:p>
    <w:p w14:paraId="20431D57" w14:textId="5837E580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1.5.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Члены Рабочей группы и привлеченные специалисты,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использующие в своей деятельности информационные ресурсы ГАС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«Выборы» и взаимодействующие с системным администратором Комиссии,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обязаны неукоснительно соблюдать требования Федерального закона «О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Государственной автоматизированной системе Российской Федерации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«Выборы», нормативных актов ЦИК России и ФЦИ при ЦИК России,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избирательной комиссии Липецкой области в части, использования ГАС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«Выборы» и требованиями по обработке персональных (конфиденциальных)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данных об избирателях, кандидатах, иных участниках избирательн</w:t>
      </w:r>
      <w:r w:rsidR="00E03F4C" w:rsidRPr="001B2B75">
        <w:rPr>
          <w:color w:val="000000"/>
          <w:sz w:val="28"/>
          <w:szCs w:val="28"/>
        </w:rPr>
        <w:t>о</w:t>
      </w:r>
      <w:r w:rsidRPr="001B2B75">
        <w:rPr>
          <w:color w:val="000000"/>
          <w:sz w:val="28"/>
          <w:szCs w:val="28"/>
        </w:rPr>
        <w:t>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процесса.</w:t>
      </w:r>
    </w:p>
    <w:p w14:paraId="795F50AF" w14:textId="18F95A47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1.6. Рабочая группа организует работу по приему и проверке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избирательных документов (далее – документы), представляемых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кандидатом, выдвинутым избирательным объединением по одномандатному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избирательному округу (иным уполномоченным лицом), кандидатом,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выдвинутым в порядке самовыдвижения (иным уполномоченным лицом),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включая подписные листы с подписями избирателей, в Комиссию.</w:t>
      </w:r>
      <w:r w:rsidR="00E03F4C" w:rsidRPr="001B2B75">
        <w:rPr>
          <w:color w:val="000000"/>
          <w:sz w:val="28"/>
          <w:szCs w:val="28"/>
        </w:rPr>
        <w:t xml:space="preserve"> </w:t>
      </w:r>
    </w:p>
    <w:p w14:paraId="239E164A" w14:textId="6AAF952C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1.7. По результатам своей работы Рабочая группа готовит и вносит на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рассмотрение Комиссии проекты соответствующих постановлений.</w:t>
      </w:r>
    </w:p>
    <w:p w14:paraId="02C9CA63" w14:textId="77777777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 Задачи и полномочия Рабочей группы</w:t>
      </w:r>
    </w:p>
    <w:p w14:paraId="20DB8429" w14:textId="36E8C208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2.1. Задачами Рабочей группы являются: прием документов,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представляемых кандидатами, проверка их соответствия требованиям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Областного закона, проверка соблюдения требований Областного закона при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выдвижении кандидатов и представлении кандидатами, выдвинутыми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избирательными объединениями по одномандатным избирательным округам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 в порядке самовыдвижения, документов в Комиссию, подготовка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соответствующих проектов постановлений Комиссии.</w:t>
      </w:r>
    </w:p>
    <w:p w14:paraId="2069DF1B" w14:textId="77777777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 Для реализации этих задач Рабочая группа:</w:t>
      </w:r>
    </w:p>
    <w:p w14:paraId="075C22E0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2.2.1. Принимает документы, представляемые в Комиссию кандидатом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для уведомления о выдвижении (самовыдвижении) кандидата по</w:t>
      </w:r>
      <w:r w:rsidR="00E03F4C" w:rsidRPr="001B2B75">
        <w:rPr>
          <w:color w:val="000000"/>
          <w:sz w:val="28"/>
          <w:szCs w:val="28"/>
        </w:rPr>
        <w:t xml:space="preserve"> со</w:t>
      </w:r>
      <w:r w:rsidRPr="001B2B75">
        <w:rPr>
          <w:color w:val="000000"/>
          <w:sz w:val="28"/>
          <w:szCs w:val="28"/>
        </w:rPr>
        <w:t>ответствующему одномандатному избирательному округу. Указанные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документы представляются лично кандидатом либо по просьбе кандидата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иным лицом в случае, если кандидат болен или содержится в месте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содержания под стражей подозреваемых и обвиняемых. Если документы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представляются по просьбе кандидата иным лицом, подлинность подписи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 на заявлении о согласии баллотироваться должна быть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 xml:space="preserve">удостоверена нотариально либо администрацией </w:t>
      </w:r>
      <w:r w:rsidRPr="001B2B75">
        <w:rPr>
          <w:color w:val="000000"/>
          <w:sz w:val="28"/>
          <w:szCs w:val="28"/>
        </w:rPr>
        <w:lastRenderedPageBreak/>
        <w:t>лечебно-профилактического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учреждения, в котором кандидат находится на излечении, администрацией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учреждения, в котором он содержится под стражей в качестве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подозреваемого или обвиняемого, при этом в Комиссию представляется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нотариально удостоверенная копия паспорта кандидата или документа,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заменяющего паспорт гражданина. При выдвижении (самовыдвижении)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кандидата, в отношении которого избрана мера пресечения в виде домашнего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ареста, Рабочая группа руководствуется постановлением Конституционного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Суда Российской Федерации от 22 декабря 2015 года № 34-П по делу 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проверке конституционности пункта 5 статьи 33 Федерального закона «Об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основных гарантиях избирательных прав и права на участие в референдуме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граждан Российской Федерации» и части 8 статьи 32 Избирательного кодекса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города Москвы в связи с жалобой гражданина К.С. Янкаускаса.</w:t>
      </w:r>
    </w:p>
    <w:p w14:paraId="790234C2" w14:textId="6C813FC6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2.2.2. Проверяет наличие документов, представленных на бумажном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носителе и в машиночитаемом виде в соответствии с требованиями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статей 30, 32 и 36 Областного закона.</w:t>
      </w:r>
    </w:p>
    <w:p w14:paraId="06C005B8" w14:textId="6C183134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2.2.3. Проверяет соблюдение требований Областного закона при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выдвижении кандидата и представлении кандидатом, выдвинутым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избирательным объединением по одномандатному избирательному округу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или в порядке самовыдвижения (иным уполномоченным лицом) (далее –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 (иное уполномоченное лицо), документов в Комиссию, а также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достоверность сведений о кандидатах.</w:t>
      </w:r>
    </w:p>
    <w:p w14:paraId="67B8C427" w14:textId="377D47B0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2.2.4. Принимает от кандидата (иного уполномоченного лица)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подписные листы с подписями избирателей, собранными в поддержку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выдвижения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(самовыдвижения)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одномандатному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избирательному округу, список лиц, осуществлявших сбор подписей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избирателей, и иные документы, представляемые для регистрации кандидата.</w:t>
      </w:r>
    </w:p>
    <w:p w14:paraId="536E93F6" w14:textId="2F393DB8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Извещает кандидатов, представивших необходимое количество подписей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избирателей, о проведении проверки подписей, а также проводит случайную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выборку необходимого для проверки количества подписей избирателей.</w:t>
      </w:r>
    </w:p>
    <w:p w14:paraId="17489DCC" w14:textId="0715DA1D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2.2.5. Проверяет соблюдение требований Областного закона к сбору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подписей избирателей и оформлению подписных листов, достоверность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сведений об избирателях, внесших в них свои подписи, а также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достоверность этих подписей, составляет ведомость проверки подписных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листов и готовит итоговый протокол проверки подписных листов.</w:t>
      </w:r>
    </w:p>
    <w:p w14:paraId="542FEE08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2.2.6. Передает кандидату не позднее чем за двое суток до заседания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Комиссии, на котором должен рассматриваться вопрос о регистрации этого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кандидата, копию итогового протокола проверки подписных листов.</w:t>
      </w:r>
    </w:p>
    <w:p w14:paraId="4906D423" w14:textId="3C0418E8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2.2.7. Готовит на заседание Комиссии документы для извещения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 о выявлении неполноты сведений о кандидате, отсутствия каких-либо документов, предусмотренных Областным законом, или несоблюдения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требований Областного закона к оформлению документов, представленных в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Комиссию.</w:t>
      </w:r>
    </w:p>
    <w:p w14:paraId="2D223352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2.2.8. Передает кандидату в случае наступления оснований,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предусмотренных частью 20 статьи 37 Областного закона, не позднее чем за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двое суток до заседания Комиссии, на котором должен рассматриваться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 xml:space="preserve">вопрос о </w:t>
      </w:r>
      <w:r w:rsidRPr="001B2B75">
        <w:rPr>
          <w:color w:val="000000"/>
          <w:sz w:val="28"/>
          <w:szCs w:val="28"/>
        </w:rPr>
        <w:lastRenderedPageBreak/>
        <w:t>регистрации этого кандидата, копии ведомостей проверки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подписных листов, в которых изложены основания (причины) признания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подписей избирателей недостоверными и (или) недействительными.</w:t>
      </w:r>
    </w:p>
    <w:p w14:paraId="1244E61D" w14:textId="1BBFCD51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2.2.9. Готовит проекты обращений в соответствующие органы с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представлениями о проведении проверки достоверности сведений,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представленных кандидатом.</w:t>
      </w:r>
    </w:p>
    <w:p w14:paraId="1990575C" w14:textId="304128A0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2.2.10. Принимает документы, необходимые для регистрации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доверенных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лиц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кандидата,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выдвинутого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одномандатному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избирательному округу, уполномоченного представителя кандидата по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финансовым вопросам.</w:t>
      </w:r>
    </w:p>
    <w:p w14:paraId="3A13A40E" w14:textId="2EAFF12A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2.2.11. Принимает документы при назначении и отзыве члена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Комиссии с правом совещательного голоса от кандидата, представившего в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Комиссию документы для регистрации, от избирательного объединения,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зарегистрировавшего областной список кандидатов.</w:t>
      </w:r>
    </w:p>
    <w:p w14:paraId="0068BA10" w14:textId="425DE10A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2.2.12. Готовит к опубликованию в периодических печатных изданиях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 на официальном сайте избирательной комиссии Липецкой области в сети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Интернет сведения о доходах и об имуществе кандидатов,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зарегистрированных по одномандатным избирательным округам, иную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информацию о кандидатах в порядке и объеме, предусмотренном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постановлениями избирательной комиссии Липецкой области; к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направлению в средства массовой информации сведений – о выявленных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фактах недостоверности представленной кандидатами информации.</w:t>
      </w:r>
    </w:p>
    <w:p w14:paraId="4F7A3768" w14:textId="77777777" w:rsidR="00E03F4C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2.2.13. Готовит материалы, необходимые в случае обжалования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решений Комиссии о регистрации либо об отказе в регистрации кандидатов,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выдвинутых по одномандатным избирательным округам.</w:t>
      </w:r>
      <w:r w:rsidR="00E03F4C" w:rsidRPr="001B2B75">
        <w:rPr>
          <w:color w:val="000000"/>
          <w:sz w:val="28"/>
          <w:szCs w:val="28"/>
        </w:rPr>
        <w:t xml:space="preserve"> </w:t>
      </w:r>
    </w:p>
    <w:p w14:paraId="6F9D2598" w14:textId="5749AA05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2.2.14. Готовит документы в связи с отказом кандидата от участия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 выборах, в связи с отзывом кандидата избирательным объединением.</w:t>
      </w:r>
    </w:p>
    <w:p w14:paraId="49204554" w14:textId="6F492681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2.2.15. Готовит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документы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для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прекращения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полномочий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уполномоченного представителя кандидата по финансовым вопросам,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аннулирования регистрации доверенных лиц кандидата в случае их отзыва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кандидатом или сложения полномочий по собственной инициативе.</w:t>
      </w:r>
    </w:p>
    <w:p w14:paraId="71481CDA" w14:textId="7AD29869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2.2.16. Принимает иные документы, представляемые кандидатом (иным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уполномоченным лицом).</w:t>
      </w:r>
    </w:p>
    <w:p w14:paraId="4EB40D34" w14:textId="7D0BBC1F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2.2.17. Выдает кандидату (иному уполномоченному лицу) документ,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подтверждающий прием всех представленных в Комиссию документов, с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указанием даты и времени начала и окончания приема.</w:t>
      </w:r>
    </w:p>
    <w:p w14:paraId="6D6AC6F1" w14:textId="292549B5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2.2.18. Готовит проекты постановлений Комиссии по направлениям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деятельности Рабочей группы.</w:t>
      </w:r>
    </w:p>
    <w:p w14:paraId="3908AE43" w14:textId="2F49B2C0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2.2.19. Осуществляет иные полномочия в целях реализации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возложенных на Рабочую группу задач.</w:t>
      </w:r>
    </w:p>
    <w:p w14:paraId="5BB0FACD" w14:textId="559275D3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3 Состав и организация деятельности Рабочей группы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3.1. Состав Рабочей группы утверждается постановлением Комиссии.</w:t>
      </w:r>
      <w:r w:rsidR="00E03F4C" w:rsidRPr="001B2B75">
        <w:rPr>
          <w:color w:val="000000"/>
          <w:sz w:val="28"/>
          <w:szCs w:val="28"/>
        </w:rPr>
        <w:t xml:space="preserve"> </w:t>
      </w:r>
    </w:p>
    <w:p w14:paraId="223293CB" w14:textId="65460D3C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Из состава Рабочей группы назначаются руководитель Рабочей группы,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заместитель руководителя Рабочей группы, являющиеся членами Комиссии.</w:t>
      </w:r>
    </w:p>
    <w:p w14:paraId="0CB462CD" w14:textId="206939F0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В состав Рабочей группы входят члены Комиссии с правом решающего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голоса.</w:t>
      </w:r>
    </w:p>
    <w:p w14:paraId="0FF55483" w14:textId="57426791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lastRenderedPageBreak/>
        <w:t>3.2.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деятельности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Рабочей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группы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соответствии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с частью 10 статьи 37 Областного закона могут привлекаться эксперты из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числа специалистов органов внутренних дел, учреждений юстиции, военных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комиссариатов, органов регистрационного учета граждан Российской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Федерации по месту пребывания и по месту жительства в пределах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Российской Федерации, иных государственных органов.</w:t>
      </w:r>
    </w:p>
    <w:p w14:paraId="784D4646" w14:textId="02C66EC6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3.3. Для выполнения работ, осуществляемых Рабочей группой, могут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привлекаться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члены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нижестоящих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избирательных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комиссий.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Количественный состав специалистов, привлекаемых для работы в Рабочей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группе, определяется руководителем Рабочей группы с учетом задач Рабочей</w:t>
      </w:r>
      <w:r w:rsidR="00E03F4C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группы, объемов документов, представляемых кандидатами (иными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уполномоченными лицами), сроков подготовки материалов, необходимых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для рассмотрения на заседаниях Комиссии, и может меняться на различных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этапах деятельности Рабочей группы.</w:t>
      </w:r>
    </w:p>
    <w:p w14:paraId="12F3037E" w14:textId="63714EBA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3.4. Деятельность Рабочей группы осуществляется путем проведения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заседаний Рабочей группы или путем непосредственной реализации своих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полномочий отдельными членами Рабочей группы по поручению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руководителя Рабочей группы.</w:t>
      </w:r>
    </w:p>
    <w:p w14:paraId="26B58836" w14:textId="50C8F4CF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3.5. Руководитель Рабочей группы проводит заседания Рабочей группы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по мере необходимости. Заседание Рабочей группы является правомочным,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если на нем присутствуют более половины от установленного числа членов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Рабочей группы. На заседании Рабочей группы вправе присутствовать,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выступать и задавать вопросы, вносить предложения члены Комиссии с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правом решающего голоса, не являющиеся членами Рабочей группы, члены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Комиссии с правом совещательного голоса, кандидаты (иные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уполномоченные лица), уполномоченные представители избирательных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объединений. Решения Рабочей группы принимаются большинством голосов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членов Комиссии с правом решающего голоса, являющихся членами Рабочей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группы.</w:t>
      </w:r>
    </w:p>
    <w:p w14:paraId="20DEB0A4" w14:textId="1517BB14" w:rsidR="00A43831" w:rsidRPr="001B2B75" w:rsidRDefault="00A43831" w:rsidP="00682275">
      <w:pPr>
        <w:shd w:val="clear" w:color="auto" w:fill="FFFFFF"/>
        <w:snapToGrid/>
        <w:ind w:firstLine="709"/>
        <w:jc w:val="both"/>
        <w:rPr>
          <w:color w:val="000000"/>
          <w:sz w:val="28"/>
          <w:szCs w:val="28"/>
        </w:rPr>
      </w:pPr>
      <w:r w:rsidRPr="001B2B75">
        <w:rPr>
          <w:color w:val="000000"/>
          <w:sz w:val="28"/>
          <w:szCs w:val="28"/>
        </w:rPr>
        <w:t>3.6. Руководитель Рабочей группы или по его поручению заместитель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руководителя Рабочей группы, или член рабочей группы – член Комиссии на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заседании Комиссии представляет подготовленные на основании документов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Рабочей группы проекты постановлений Комиссии. В отсутствие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руководителя Рабочей группы его полномочия исполняет заместитель</w:t>
      </w:r>
      <w:r w:rsidR="00682275" w:rsidRPr="001B2B75">
        <w:rPr>
          <w:color w:val="000000"/>
          <w:sz w:val="28"/>
          <w:szCs w:val="28"/>
        </w:rPr>
        <w:t xml:space="preserve"> </w:t>
      </w:r>
      <w:r w:rsidRPr="001B2B75">
        <w:rPr>
          <w:color w:val="000000"/>
          <w:sz w:val="28"/>
          <w:szCs w:val="28"/>
        </w:rPr>
        <w:t>руководителя Рабочей группы.</w:t>
      </w:r>
    </w:p>
    <w:p w14:paraId="78F21E71" w14:textId="77777777" w:rsidR="00A43831" w:rsidRPr="001B2B75" w:rsidRDefault="00A43831" w:rsidP="0068227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sectPr w:rsidR="00A43831" w:rsidRPr="001B2B75" w:rsidSect="001E5314">
      <w:headerReference w:type="even" r:id="rId6"/>
      <w:footerReference w:type="even" r:id="rId7"/>
      <w:footerReference w:type="default" r:id="rId8"/>
      <w:pgSz w:w="11907" w:h="16840" w:code="9"/>
      <w:pgMar w:top="1134" w:right="567" w:bottom="1077" w:left="1701" w:header="567" w:footer="720" w:gutter="0"/>
      <w:paperSrc w:first="15" w:other="15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449F" w14:textId="77777777" w:rsidR="00D74C39" w:rsidRDefault="00D74C39">
      <w:r>
        <w:separator/>
      </w:r>
    </w:p>
  </w:endnote>
  <w:endnote w:type="continuationSeparator" w:id="0">
    <w:p w14:paraId="15F0D8F0" w14:textId="77777777" w:rsidR="00D74C39" w:rsidRDefault="00D7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AF1" w14:textId="77777777" w:rsidR="001A46E5" w:rsidRDefault="00F82D76" w:rsidP="00B65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F4636" w14:textId="77777777" w:rsidR="001A46E5" w:rsidRDefault="00D74C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AC61" w14:textId="77777777" w:rsidR="001A46E5" w:rsidRDefault="00F82D76" w:rsidP="00B65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41BE6A5" w14:textId="77777777" w:rsidR="001A46E5" w:rsidRDefault="00D74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B867" w14:textId="77777777" w:rsidR="00D74C39" w:rsidRDefault="00D74C39">
      <w:r>
        <w:separator/>
      </w:r>
    </w:p>
  </w:footnote>
  <w:footnote w:type="continuationSeparator" w:id="0">
    <w:p w14:paraId="31607DE2" w14:textId="77777777" w:rsidR="00D74C39" w:rsidRDefault="00D7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87A5" w14:textId="77777777" w:rsidR="001A46E5" w:rsidRDefault="00F82D76" w:rsidP="00D6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5A4ED" w14:textId="77777777" w:rsidR="001A46E5" w:rsidRDefault="00D74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4F"/>
    <w:rsid w:val="00182588"/>
    <w:rsid w:val="001B2B75"/>
    <w:rsid w:val="003254D4"/>
    <w:rsid w:val="00682275"/>
    <w:rsid w:val="00735BDE"/>
    <w:rsid w:val="008B164F"/>
    <w:rsid w:val="00A43831"/>
    <w:rsid w:val="00D74C39"/>
    <w:rsid w:val="00E03F4C"/>
    <w:rsid w:val="00F82D76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4CF"/>
  <w15:chartTrackingRefBased/>
  <w15:docId w15:val="{387951FB-C8C6-4BE8-B7C4-724764C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4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64F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6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B164F"/>
    <w:pPr>
      <w:tabs>
        <w:tab w:val="center" w:pos="4677"/>
        <w:tab w:val="right" w:pos="9355"/>
      </w:tabs>
      <w:snapToGrid/>
      <w:jc w:val="center"/>
    </w:pPr>
    <w:rPr>
      <w:sz w:val="22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164F"/>
    <w:rPr>
      <w:rFonts w:ascii="Times New Roman" w:eastAsia="Times New Roman" w:hAnsi="Times New Roman" w:cs="Times New Roman"/>
      <w:szCs w:val="28"/>
      <w:lang w:val="x-none" w:eastAsia="x-none"/>
    </w:rPr>
  </w:style>
  <w:style w:type="character" w:styleId="a5">
    <w:name w:val="page number"/>
    <w:rsid w:val="008B164F"/>
    <w:rPr>
      <w:rFonts w:cs="Times New Roman"/>
      <w:spacing w:val="0"/>
      <w:w w:val="100"/>
      <w:sz w:val="22"/>
    </w:rPr>
  </w:style>
  <w:style w:type="paragraph" w:styleId="a6">
    <w:name w:val="footer"/>
    <w:basedOn w:val="a"/>
    <w:link w:val="a7"/>
    <w:rsid w:val="008B164F"/>
    <w:pPr>
      <w:tabs>
        <w:tab w:val="center" w:pos="4677"/>
        <w:tab w:val="right" w:pos="9355"/>
      </w:tabs>
      <w:snapToGrid/>
      <w:jc w:val="center"/>
    </w:pPr>
    <w:rPr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8B164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ody Text"/>
    <w:basedOn w:val="a"/>
    <w:link w:val="a9"/>
    <w:rsid w:val="008B164F"/>
    <w:pPr>
      <w:overflowPunct w:val="0"/>
      <w:autoSpaceDE w:val="0"/>
      <w:autoSpaceDN w:val="0"/>
      <w:adjustRightInd w:val="0"/>
      <w:snapToGrid/>
      <w:jc w:val="both"/>
      <w:textAlignment w:val="baseline"/>
    </w:pPr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8B16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8B1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2021-06-18T06:45:00Z</dcterms:created>
  <dcterms:modified xsi:type="dcterms:W3CDTF">2021-06-18T12:28:00Z</dcterms:modified>
</cp:coreProperties>
</file>