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162AD">
      <w:pPr>
        <w:pStyle w:val="a9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>ТЕРРИТОРИАЛЬНАЯ ИЗБИРАТЕЛЬНАЯ КОМИССИЯ</w:t>
      </w:r>
      <w:r w:rsidR="008D4CED">
        <w:rPr>
          <w:b/>
          <w:bCs/>
          <w:sz w:val="32"/>
        </w:rPr>
        <w:t xml:space="preserve"> № 2</w:t>
      </w:r>
    </w:p>
    <w:p w:rsidR="00000000" w:rsidRDefault="008D4CED">
      <w:pPr>
        <w:rPr>
          <w:b/>
          <w:bCs/>
          <w:sz w:val="32"/>
        </w:rPr>
      </w:pPr>
      <w:r>
        <w:rPr>
          <w:b/>
          <w:bCs/>
          <w:sz w:val="32"/>
        </w:rPr>
        <w:t>ОКТЯБРЬСКОГО ОКРУГА ГОРОДА ЛИПЕЦКА</w:t>
      </w:r>
    </w:p>
    <w:p w:rsidR="008D4CED" w:rsidRDefault="008D4CED">
      <w:pPr>
        <w:rPr>
          <w:b/>
          <w:bCs/>
          <w:sz w:val="32"/>
        </w:rPr>
      </w:pPr>
    </w:p>
    <w:p w:rsidR="00000000" w:rsidRDefault="000162AD">
      <w:pPr>
        <w:pStyle w:val="1"/>
        <w:rPr>
          <w:rFonts w:cs="Times New Roman"/>
          <w:bCs w:val="0"/>
          <w:spacing w:val="80"/>
          <w:sz w:val="32"/>
        </w:rPr>
      </w:pPr>
      <w:r>
        <w:rPr>
          <w:rFonts w:cs="Times New Roman"/>
          <w:bCs w:val="0"/>
          <w:spacing w:val="80"/>
          <w:sz w:val="32"/>
        </w:rPr>
        <w:t>ПОСТАНОВЛЕНИЕ</w:t>
      </w:r>
    </w:p>
    <w:p w:rsidR="00000000" w:rsidRDefault="000162AD"/>
    <w:tbl>
      <w:tblPr>
        <w:tblW w:w="9327" w:type="dxa"/>
        <w:tblInd w:w="0" w:type="dxa"/>
        <w:tblLook w:val="0000" w:firstRow="0" w:lastRow="0" w:firstColumn="0" w:lastColumn="0" w:noHBand="0" w:noVBand="0"/>
      </w:tblPr>
      <w:tblGrid>
        <w:gridCol w:w="3794"/>
        <w:gridCol w:w="2749"/>
        <w:gridCol w:w="2070"/>
        <w:gridCol w:w="714"/>
      </w:tblGrid>
      <w:tr w:rsidR="00000000" w:rsidTr="00CF431B">
        <w:tc>
          <w:tcPr>
            <w:tcW w:w="3794" w:type="dxa"/>
          </w:tcPr>
          <w:p w:rsidR="00000000" w:rsidRDefault="000162AD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D4CED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» </w:t>
            </w:r>
            <w:r w:rsidR="008D4CED">
              <w:rPr>
                <w:color w:val="000000"/>
              </w:rPr>
              <w:t>января</w:t>
            </w:r>
            <w:r>
              <w:rPr>
                <w:color w:val="000000"/>
              </w:rPr>
              <w:t xml:space="preserve"> 20</w:t>
            </w:r>
            <w:r w:rsidR="008D4CED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9" w:type="dxa"/>
          </w:tcPr>
          <w:p w:rsidR="00000000" w:rsidRDefault="000162AD">
            <w:pPr>
              <w:rPr>
                <w:color w:val="000000"/>
              </w:rPr>
            </w:pPr>
          </w:p>
        </w:tc>
        <w:tc>
          <w:tcPr>
            <w:tcW w:w="2070" w:type="dxa"/>
          </w:tcPr>
          <w:p w:rsidR="00000000" w:rsidRDefault="000162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000000" w:rsidRDefault="008D4C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2/10</w:t>
            </w:r>
          </w:p>
        </w:tc>
      </w:tr>
    </w:tbl>
    <w:p w:rsidR="00000000" w:rsidRDefault="008D4CED">
      <w:pPr>
        <w:ind w:left="80"/>
        <w:rPr>
          <w:sz w:val="24"/>
          <w:szCs w:val="24"/>
        </w:rPr>
      </w:pPr>
      <w:r>
        <w:rPr>
          <w:color w:val="000000"/>
        </w:rPr>
        <w:t>г. Липецк</w:t>
      </w:r>
    </w:p>
    <w:p w:rsidR="00000000" w:rsidRPr="00BC0B80" w:rsidRDefault="000162AD">
      <w:pPr>
        <w:ind w:left="80"/>
        <w:rPr>
          <w:b/>
          <w:sz w:val="24"/>
          <w:szCs w:val="24"/>
        </w:rPr>
      </w:pPr>
    </w:p>
    <w:p w:rsidR="00BC0B80" w:rsidRPr="00BC0B80" w:rsidRDefault="00BC0B80">
      <w:pPr>
        <w:ind w:left="80"/>
        <w:rPr>
          <w:b/>
          <w:sz w:val="24"/>
          <w:szCs w:val="24"/>
        </w:rPr>
      </w:pPr>
    </w:p>
    <w:p w:rsidR="00000000" w:rsidRDefault="000162AD">
      <w:pPr>
        <w:rPr>
          <w:b/>
          <w:bCs/>
        </w:rPr>
      </w:pPr>
      <w:r>
        <w:rPr>
          <w:b/>
          <w:bCs/>
        </w:rPr>
        <w:t xml:space="preserve">О рабочей группе </w:t>
      </w:r>
    </w:p>
    <w:p w:rsidR="00000000" w:rsidRDefault="000162AD">
      <w:pPr>
        <w:rPr>
          <w:b/>
          <w:bCs/>
        </w:rPr>
      </w:pPr>
      <w:r>
        <w:rPr>
          <w:b/>
          <w:bCs/>
        </w:rPr>
        <w:t xml:space="preserve">территориальной избирательной комиссии </w:t>
      </w:r>
      <w:r w:rsidR="008D4CED">
        <w:rPr>
          <w:b/>
          <w:bCs/>
        </w:rPr>
        <w:t>№ 2 Октябрьского округа города Липецка п</w:t>
      </w:r>
      <w:r>
        <w:rPr>
          <w:b/>
          <w:bCs/>
        </w:rPr>
        <w:t>о предварительному ра</w:t>
      </w:r>
      <w:r>
        <w:rPr>
          <w:b/>
          <w:bCs/>
        </w:rPr>
        <w:t>ссмотрению жалоб (зая</w:t>
      </w:r>
      <w:r>
        <w:rPr>
          <w:b/>
          <w:bCs/>
        </w:rPr>
        <w:t xml:space="preserve">влений) на решения и действия (бездействие) нижестоящих избирательных комиссий, комиссий референдума и их должностных лиц, нарушающие избирательные права и </w:t>
      </w:r>
      <w:r>
        <w:rPr>
          <w:rStyle w:val="a6"/>
          <w:color w:val="2E2E2E"/>
        </w:rPr>
        <w:t>право на участие в референдуме граждан Российской Федерации</w:t>
      </w:r>
    </w:p>
    <w:p w:rsidR="00000000" w:rsidRDefault="000162AD">
      <w:pPr>
        <w:rPr>
          <w:b/>
          <w:bCs/>
        </w:rPr>
      </w:pPr>
    </w:p>
    <w:p w:rsidR="00000000" w:rsidRDefault="000162AD">
      <w:pPr>
        <w:pStyle w:val="ae"/>
        <w:tabs>
          <w:tab w:val="left" w:pos="1260"/>
        </w:tabs>
        <w:spacing w:after="0" w:line="360" w:lineRule="auto"/>
        <w:ind w:firstLine="539"/>
        <w:jc w:val="both"/>
        <w:rPr>
          <w:b/>
        </w:rPr>
      </w:pPr>
      <w:r>
        <w:rPr>
          <w:color w:val="000000"/>
        </w:rPr>
        <w:t>На основании подпу</w:t>
      </w:r>
      <w:r>
        <w:rPr>
          <w:color w:val="000000"/>
        </w:rPr>
        <w:t>нкта з) пункта 9 с</w:t>
      </w:r>
      <w:r>
        <w:rPr>
          <w:color w:val="000000"/>
        </w:rPr>
        <w:t xml:space="preserve">татьи 26 Федерального закона </w:t>
      </w:r>
      <w:r w:rsidR="00900D2E">
        <w:rPr>
          <w:color w:val="000000"/>
        </w:rPr>
        <w:br/>
      </w:r>
      <w:r>
        <w:rPr>
          <w:color w:val="000000"/>
        </w:rPr>
        <w:t>от 12 июня 2002 года № 67-ФЗ «Об основных гарантиях избирательных прав и права</w:t>
      </w:r>
      <w:r>
        <w:rPr>
          <w:color w:val="000000"/>
        </w:rPr>
        <w:t xml:space="preserve"> на участие в референдуме граждан Российской Федерации»</w:t>
      </w:r>
      <w:r>
        <w:t xml:space="preserve">, подпункта з) </w:t>
      </w:r>
      <w:r w:rsidRPr="008D4CED">
        <w:t>части 8 и подпункта к) части 9 статьи 3 Закона Липецкой обла</w:t>
      </w:r>
      <w:r w:rsidRPr="008D4CED">
        <w:t xml:space="preserve">сти </w:t>
      </w:r>
      <w:r>
        <w:t>от 29 декабря 2012 года</w:t>
      </w:r>
      <w:r w:rsidR="00900D2E">
        <w:t xml:space="preserve"> </w:t>
      </w:r>
      <w:r>
        <w:t>№ 117-ОЗ «О статусе, порядке формирования и полномочиях территориальных и участковых избирательных комиссий Липецкой области» в целях реализации полномочий территориальной избирательной комиссии по рассмотрению жалоб (заявлений)</w:t>
      </w:r>
      <w:r>
        <w:t xml:space="preserve"> на решения и действия (бездействие) нижестоящих избирательных комиссий, комиссий референдума и их должностных лиц</w:t>
      </w:r>
      <w:r>
        <w:rPr>
          <w:bCs/>
        </w:rPr>
        <w:t xml:space="preserve">, территориальная </w:t>
      </w:r>
      <w:r>
        <w:t xml:space="preserve">избирательная комиссия </w:t>
      </w:r>
      <w:r w:rsidR="008D4CED">
        <w:t xml:space="preserve">№ 2 Октябрьского округа города Липецка </w:t>
      </w:r>
      <w:r>
        <w:t xml:space="preserve"> </w:t>
      </w:r>
      <w:r>
        <w:rPr>
          <w:b/>
          <w:spacing w:val="60"/>
        </w:rPr>
        <w:t>постановляе</w:t>
      </w:r>
      <w:r>
        <w:rPr>
          <w:b/>
        </w:rPr>
        <w:t>т:</w:t>
      </w:r>
    </w:p>
    <w:p w:rsidR="00000000" w:rsidRDefault="000162AD" w:rsidP="008D4CED">
      <w:pPr>
        <w:spacing w:line="360" w:lineRule="auto"/>
        <w:ind w:firstLine="539"/>
        <w:jc w:val="both"/>
      </w:pPr>
      <w:r>
        <w:t>1. Утвердить Положение о рабочей группе террито</w:t>
      </w:r>
      <w:r>
        <w:t>риал</w:t>
      </w:r>
      <w:r>
        <w:t xml:space="preserve">ьной избирательной комиссии </w:t>
      </w:r>
      <w:r w:rsidR="008D4CED">
        <w:t xml:space="preserve">№ 2 Октябрьского округа города Липецка </w:t>
      </w:r>
      <w:r>
        <w:rPr>
          <w:bCs/>
        </w:rPr>
        <w:t>по предварительному рассмотрению жалоб (заявлений) на решения и действия (бездействие) нижестоящих избирательных комиссий, комиссий референдума и их должностных лиц, нарушающие избирате</w:t>
      </w:r>
      <w:r>
        <w:rPr>
          <w:bCs/>
        </w:rPr>
        <w:t xml:space="preserve">льные права, </w:t>
      </w:r>
      <w:r>
        <w:rPr>
          <w:rStyle w:val="a6"/>
          <w:b w:val="0"/>
        </w:rPr>
        <w:t xml:space="preserve">право на участие в референдуме граждан Российской Федерации </w:t>
      </w:r>
      <w:r>
        <w:rPr>
          <w:bCs/>
        </w:rPr>
        <w:t>(</w:t>
      </w:r>
      <w:r>
        <w:t>приложение № 1).</w:t>
      </w:r>
    </w:p>
    <w:p w:rsidR="00CF431B" w:rsidRDefault="00CF431B">
      <w:pPr>
        <w:spacing w:line="360" w:lineRule="auto"/>
        <w:ind w:firstLine="539"/>
        <w:jc w:val="both"/>
      </w:pPr>
    </w:p>
    <w:p w:rsidR="00000000" w:rsidRDefault="00BC0B80">
      <w:pPr>
        <w:spacing w:line="360" w:lineRule="auto"/>
        <w:ind w:firstLine="539"/>
        <w:jc w:val="both"/>
      </w:pPr>
      <w:r>
        <w:lastRenderedPageBreak/>
        <w:t>2</w:t>
      </w:r>
      <w:r w:rsidR="000162AD">
        <w:t xml:space="preserve">. Утвердить состав рабочей группы территориальной избирательной комиссии </w:t>
      </w:r>
      <w:r w:rsidR="008D4CED">
        <w:t xml:space="preserve">№ 2 Октябрьского округа города Липецка </w:t>
      </w:r>
      <w:r w:rsidR="000162AD">
        <w:rPr>
          <w:bCs/>
        </w:rPr>
        <w:t>по предварительному рассмотрению жалоб</w:t>
      </w:r>
      <w:r w:rsidR="008D4CED">
        <w:rPr>
          <w:bCs/>
        </w:rPr>
        <w:t xml:space="preserve"> </w:t>
      </w:r>
      <w:r w:rsidR="000162AD">
        <w:rPr>
          <w:bCs/>
        </w:rPr>
        <w:t xml:space="preserve">(заявлений) </w:t>
      </w:r>
      <w:r w:rsidR="000162AD">
        <w:rPr>
          <w:bCs/>
        </w:rPr>
        <w:t>на решения и</w:t>
      </w:r>
      <w:r w:rsidR="000162AD">
        <w:rPr>
          <w:bCs/>
        </w:rPr>
        <w:t xml:space="preserve"> действия (бездействие) нижестоящих избирательных комиссий, комиссий референдума и их должностных лиц, нарушающие избирательные права, </w:t>
      </w:r>
      <w:r w:rsidR="000162AD">
        <w:rPr>
          <w:rStyle w:val="a6"/>
          <w:b w:val="0"/>
          <w:color w:val="2E2E2E"/>
        </w:rPr>
        <w:t xml:space="preserve">право на участие в референдуме граждан Российской Федерации </w:t>
      </w:r>
      <w:r w:rsidR="000162AD">
        <w:rPr>
          <w:bCs/>
        </w:rPr>
        <w:t>(</w:t>
      </w:r>
      <w:r w:rsidR="000162AD">
        <w:t>приложение № 2).</w:t>
      </w:r>
    </w:p>
    <w:p w:rsidR="00000000" w:rsidRDefault="00BC0B80" w:rsidP="008D4CED">
      <w:pPr>
        <w:spacing w:line="360" w:lineRule="auto"/>
        <w:ind w:firstLine="567"/>
        <w:jc w:val="both"/>
        <w:rPr>
          <w:bCs/>
        </w:rPr>
      </w:pPr>
      <w:r>
        <w:rPr>
          <w:rFonts w:ascii="Times New Roman CYR" w:hAnsi="Times New Roman CYR"/>
        </w:rPr>
        <w:t>3</w:t>
      </w:r>
      <w:r w:rsidR="000162AD">
        <w:rPr>
          <w:rFonts w:ascii="Times New Roman CYR" w:hAnsi="Times New Roman CYR"/>
        </w:rPr>
        <w:t xml:space="preserve">. Признать </w:t>
      </w:r>
      <w:r w:rsidR="000162AD">
        <w:t>утратившим силу пос</w:t>
      </w:r>
      <w:r w:rsidR="000162AD">
        <w:t>тановление территор</w:t>
      </w:r>
      <w:r w:rsidR="000162AD">
        <w:t xml:space="preserve">иальной избирательной комиссии </w:t>
      </w:r>
      <w:r w:rsidR="008D4CED">
        <w:t xml:space="preserve">№ 2 Октябрьского округа города Липецка </w:t>
      </w:r>
      <w:r w:rsidR="00CF431B">
        <w:br/>
      </w:r>
      <w:r w:rsidR="000162AD">
        <w:t>от «</w:t>
      </w:r>
      <w:r w:rsidR="008D4CED">
        <w:t>2</w:t>
      </w:r>
      <w:r w:rsidR="000162AD">
        <w:t xml:space="preserve">» </w:t>
      </w:r>
      <w:r w:rsidR="008D4CED">
        <w:t xml:space="preserve">февраля </w:t>
      </w:r>
      <w:r w:rsidR="000162AD">
        <w:t>20</w:t>
      </w:r>
      <w:r w:rsidR="008D4CED">
        <w:t xml:space="preserve">26 </w:t>
      </w:r>
      <w:r w:rsidR="000162AD">
        <w:t>г. №</w:t>
      </w:r>
      <w:r w:rsidR="008D4CED">
        <w:t xml:space="preserve"> 2/8 </w:t>
      </w:r>
      <w:r w:rsidR="000162AD">
        <w:t>«</w:t>
      </w:r>
      <w:r w:rsidR="000162AD">
        <w:rPr>
          <w:bCs/>
        </w:rPr>
        <w:t xml:space="preserve">О рабочей группе территориальной избирательной комиссии </w:t>
      </w:r>
      <w:r w:rsidR="008D4CED">
        <w:rPr>
          <w:bCs/>
        </w:rPr>
        <w:t>№ 2 Октябрьского округа города Липецка</w:t>
      </w:r>
      <w:r w:rsidR="000162AD">
        <w:rPr>
          <w:bCs/>
        </w:rPr>
        <w:t xml:space="preserve"> по предварительному рассмотрению жалоб</w:t>
      </w:r>
      <w:r w:rsidR="00CF431B">
        <w:rPr>
          <w:bCs/>
        </w:rPr>
        <w:t xml:space="preserve"> </w:t>
      </w:r>
      <w:r w:rsidR="000162AD">
        <w:rPr>
          <w:bCs/>
        </w:rPr>
        <w:t>(з</w:t>
      </w:r>
      <w:r w:rsidR="000162AD">
        <w:rPr>
          <w:bCs/>
        </w:rPr>
        <w:t>ая</w:t>
      </w:r>
      <w:r w:rsidR="000162AD">
        <w:rPr>
          <w:bCs/>
        </w:rPr>
        <w:t xml:space="preserve">влений) на решения и действия (бездействие) избирательных комиссий, комиссий референдума и их должностных лиц, нарушающие избирательные права и </w:t>
      </w:r>
      <w:r w:rsidR="000162AD">
        <w:rPr>
          <w:rStyle w:val="a6"/>
          <w:b w:val="0"/>
          <w:color w:val="2E2E2E"/>
        </w:rPr>
        <w:t>право на участие в референдуме граждан Российской Федерации</w:t>
      </w:r>
      <w:r w:rsidR="000162AD">
        <w:rPr>
          <w:bCs/>
        </w:rPr>
        <w:t>».</w:t>
      </w:r>
    </w:p>
    <w:p w:rsidR="00000000" w:rsidRDefault="000162AD"/>
    <w:p w:rsidR="00CF431B" w:rsidRDefault="00CF431B"/>
    <w:p w:rsidR="00CF431B" w:rsidRDefault="00CF431B"/>
    <w:tbl>
      <w:tblPr>
        <w:tblW w:w="9568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5220"/>
        <w:gridCol w:w="946"/>
        <w:gridCol w:w="3332"/>
      </w:tblGrid>
      <w:tr w:rsidR="008D4CED" w:rsidRPr="00EF437B" w:rsidTr="00BC0B80">
        <w:trPr>
          <w:gridBefore w:val="1"/>
          <w:wBefore w:w="70" w:type="dxa"/>
        </w:trPr>
        <w:tc>
          <w:tcPr>
            <w:tcW w:w="6166" w:type="dxa"/>
            <w:gridSpan w:val="2"/>
          </w:tcPr>
          <w:p w:rsidR="008D4CED" w:rsidRPr="00EF437B" w:rsidRDefault="008D4CED" w:rsidP="008D4CED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ПРЕДСЕДАТЕЛЬ</w:t>
            </w:r>
          </w:p>
          <w:p w:rsidR="008D4CED" w:rsidRPr="00EF437B" w:rsidRDefault="008D4CED" w:rsidP="008D4CE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8D4CED" w:rsidRPr="00EF437B" w:rsidRDefault="008D4CED" w:rsidP="008D4CE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8D4CED" w:rsidRPr="00EF437B" w:rsidRDefault="008D4CED" w:rsidP="008D4CE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ГОРОДА ЛИПЕЦКА</w:t>
            </w:r>
          </w:p>
          <w:p w:rsidR="008D4CED" w:rsidRPr="00EF437B" w:rsidRDefault="008D4CED" w:rsidP="008D4CED">
            <w:pPr>
              <w:tabs>
                <w:tab w:val="left" w:pos="-2250"/>
                <w:tab w:val="center" w:pos="1418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32" w:type="dxa"/>
          </w:tcPr>
          <w:p w:rsidR="008D4CED" w:rsidRPr="00EF437B" w:rsidRDefault="008D4CE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8D4CED" w:rsidRPr="00EF437B" w:rsidRDefault="008D4CE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8D4CED" w:rsidRPr="00EF437B" w:rsidRDefault="008D4CE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8D4CED" w:rsidRPr="00EF437B" w:rsidRDefault="008D4CE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А.Б. ДЕЕВ</w:t>
            </w:r>
          </w:p>
        </w:tc>
      </w:tr>
      <w:tr w:rsidR="008D4CED" w:rsidRPr="00EF437B" w:rsidTr="00BC0B80">
        <w:trPr>
          <w:gridBefore w:val="1"/>
          <w:wBefore w:w="70" w:type="dxa"/>
          <w:trHeight w:val="868"/>
        </w:trPr>
        <w:tc>
          <w:tcPr>
            <w:tcW w:w="6166" w:type="dxa"/>
            <w:gridSpan w:val="2"/>
          </w:tcPr>
          <w:p w:rsidR="008D4CED" w:rsidRPr="00EF437B" w:rsidRDefault="008D4CED" w:rsidP="008D4CED">
            <w:pPr>
              <w:tabs>
                <w:tab w:val="left" w:pos="-2250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СЕКРЕТАРЬ</w:t>
            </w:r>
          </w:p>
          <w:p w:rsidR="008D4CED" w:rsidRPr="00EF437B" w:rsidRDefault="008D4CED" w:rsidP="008D4CE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ТЕРРИТОРИАЛЬНОЙ ИЗБИРАТЕЛЬНОЙ</w:t>
            </w:r>
          </w:p>
          <w:p w:rsidR="008D4CED" w:rsidRPr="00EF437B" w:rsidRDefault="008D4CED" w:rsidP="008D4CE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КОМИССИИ № 2 ОКТЯБРЬСКОГО ОКРУГА</w:t>
            </w:r>
          </w:p>
          <w:p w:rsidR="008D4CED" w:rsidRPr="00EF437B" w:rsidRDefault="008D4CED" w:rsidP="008D4CED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ГОРОДА ЛИПЕЦКА</w:t>
            </w:r>
          </w:p>
        </w:tc>
        <w:tc>
          <w:tcPr>
            <w:tcW w:w="3332" w:type="dxa"/>
          </w:tcPr>
          <w:p w:rsidR="008D4CED" w:rsidRPr="00EF437B" w:rsidRDefault="008D4CE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</w:p>
          <w:p w:rsidR="008D4CED" w:rsidRPr="00EF437B" w:rsidRDefault="008D4CED">
            <w:pPr>
              <w:tabs>
                <w:tab w:val="left" w:pos="-2250"/>
              </w:tabs>
              <w:rPr>
                <w:b/>
                <w:sz w:val="24"/>
                <w:szCs w:val="24"/>
              </w:rPr>
            </w:pPr>
          </w:p>
          <w:p w:rsidR="008D4CED" w:rsidRPr="00EF437B" w:rsidRDefault="008D4CED">
            <w:pPr>
              <w:tabs>
                <w:tab w:val="left" w:pos="-2250"/>
              </w:tabs>
              <w:rPr>
                <w:b/>
                <w:sz w:val="24"/>
                <w:szCs w:val="24"/>
              </w:rPr>
            </w:pPr>
          </w:p>
          <w:p w:rsidR="008D4CED" w:rsidRPr="00EF437B" w:rsidRDefault="008D4CED">
            <w:pPr>
              <w:tabs>
                <w:tab w:val="left" w:pos="-2250"/>
              </w:tabs>
              <w:jc w:val="right"/>
              <w:rPr>
                <w:b/>
                <w:sz w:val="24"/>
                <w:szCs w:val="24"/>
              </w:rPr>
            </w:pPr>
            <w:r w:rsidRPr="00EF437B">
              <w:rPr>
                <w:b/>
                <w:sz w:val="24"/>
                <w:szCs w:val="24"/>
              </w:rPr>
              <w:t>А.С. КАКУНИНА</w:t>
            </w:r>
          </w:p>
        </w:tc>
      </w:tr>
      <w:tr w:rsidR="00000000" w:rsidTr="00BC0B80">
        <w:tc>
          <w:tcPr>
            <w:tcW w:w="5290" w:type="dxa"/>
            <w:gridSpan w:val="2"/>
          </w:tcPr>
          <w:p w:rsidR="00000000" w:rsidRDefault="000162AD">
            <w:pPr>
              <w:tabs>
                <w:tab w:val="left" w:pos="-2250"/>
              </w:tabs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278" w:type="dxa"/>
            <w:gridSpan w:val="2"/>
          </w:tcPr>
          <w:p w:rsidR="00000000" w:rsidRDefault="000162AD">
            <w:pPr>
              <w:tabs>
                <w:tab w:val="left" w:pos="-2250"/>
              </w:tabs>
              <w:jc w:val="right"/>
              <w:rPr>
                <w:b/>
              </w:rPr>
            </w:pPr>
          </w:p>
        </w:tc>
      </w:tr>
      <w:tr w:rsidR="00000000" w:rsidTr="00BC0B80">
        <w:trPr>
          <w:trHeight w:val="868"/>
        </w:trPr>
        <w:tc>
          <w:tcPr>
            <w:tcW w:w="5290" w:type="dxa"/>
            <w:gridSpan w:val="2"/>
          </w:tcPr>
          <w:p w:rsidR="00000000" w:rsidRDefault="000162AD">
            <w:pPr>
              <w:tabs>
                <w:tab w:val="left" w:pos="-2250"/>
              </w:tabs>
              <w:rPr>
                <w:bCs/>
              </w:rPr>
            </w:pPr>
          </w:p>
        </w:tc>
        <w:tc>
          <w:tcPr>
            <w:tcW w:w="4278" w:type="dxa"/>
            <w:gridSpan w:val="2"/>
          </w:tcPr>
          <w:p w:rsidR="00000000" w:rsidRDefault="000162AD">
            <w:pPr>
              <w:tabs>
                <w:tab w:val="left" w:pos="-2250"/>
              </w:tabs>
              <w:jc w:val="right"/>
              <w:rPr>
                <w:b/>
              </w:rPr>
            </w:pPr>
          </w:p>
        </w:tc>
      </w:tr>
    </w:tbl>
    <w:p w:rsidR="00000000" w:rsidRDefault="000162AD">
      <w:pPr>
        <w:pStyle w:val="16"/>
        <w:spacing w:line="240" w:lineRule="auto"/>
        <w:sectPr w:rsidR="00000000" w:rsidSect="00BC0B80">
          <w:headerReference w:type="even" r:id="rId6"/>
          <w:headerReference w:type="default" r:id="rId7"/>
          <w:footnotePr>
            <w:numFmt w:val="chicago"/>
            <w:numRestart w:val="eachPage"/>
          </w:footnotePr>
          <w:pgSz w:w="11906" w:h="16838"/>
          <w:pgMar w:top="567" w:right="849" w:bottom="993" w:left="1701" w:header="709" w:footer="709" w:gutter="0"/>
          <w:pgNumType w:start="1"/>
          <w:cols w:space="720"/>
          <w:titlePg/>
          <w:docGrid w:linePitch="360"/>
        </w:sectPr>
      </w:pPr>
    </w:p>
    <w:p w:rsidR="00000000" w:rsidRDefault="000162AD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Приложение № 1</w:t>
      </w:r>
    </w:p>
    <w:p w:rsidR="00000000" w:rsidRDefault="000162AD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УТВЕРЖДЕНО</w:t>
      </w:r>
    </w:p>
    <w:p w:rsidR="00000000" w:rsidRDefault="000162AD">
      <w:pPr>
        <w:pStyle w:val="16"/>
        <w:spacing w:line="240" w:lineRule="auto"/>
        <w:ind w:left="4954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территориальной избирательной комиссии </w:t>
      </w:r>
      <w:r w:rsidR="008D4CED">
        <w:rPr>
          <w:sz w:val="22"/>
          <w:szCs w:val="22"/>
        </w:rPr>
        <w:t>№ 2 Октябрьского округа города Липецка</w:t>
      </w:r>
      <w:r>
        <w:rPr>
          <w:sz w:val="22"/>
          <w:szCs w:val="22"/>
        </w:rPr>
        <w:t xml:space="preserve"> </w:t>
      </w:r>
    </w:p>
    <w:p w:rsidR="00000000" w:rsidRDefault="000162AD">
      <w:pPr>
        <w:pStyle w:val="16"/>
        <w:spacing w:line="240" w:lineRule="auto"/>
        <w:ind w:left="4247"/>
        <w:jc w:val="center"/>
        <w:rPr>
          <w:sz w:val="22"/>
          <w:szCs w:val="22"/>
        </w:rPr>
      </w:pPr>
      <w:r>
        <w:rPr>
          <w:sz w:val="22"/>
          <w:szCs w:val="22"/>
        </w:rPr>
        <w:t>от «</w:t>
      </w:r>
      <w:r w:rsidR="008D4CED">
        <w:rPr>
          <w:sz w:val="22"/>
          <w:szCs w:val="22"/>
        </w:rPr>
        <w:t>23</w:t>
      </w:r>
      <w:r>
        <w:rPr>
          <w:sz w:val="22"/>
          <w:szCs w:val="22"/>
        </w:rPr>
        <w:t xml:space="preserve">» </w:t>
      </w:r>
      <w:r w:rsidR="008D4CED">
        <w:rPr>
          <w:sz w:val="22"/>
          <w:szCs w:val="22"/>
        </w:rPr>
        <w:t xml:space="preserve">января </w:t>
      </w:r>
      <w:r>
        <w:rPr>
          <w:sz w:val="22"/>
          <w:szCs w:val="22"/>
        </w:rPr>
        <w:t>20</w:t>
      </w:r>
      <w:r w:rsidR="008D4CED">
        <w:rPr>
          <w:sz w:val="22"/>
          <w:szCs w:val="22"/>
        </w:rPr>
        <w:t>26</w:t>
      </w:r>
      <w:r>
        <w:rPr>
          <w:sz w:val="22"/>
          <w:szCs w:val="22"/>
        </w:rPr>
        <w:t xml:space="preserve"> года № </w:t>
      </w:r>
      <w:r w:rsidR="008D4CED">
        <w:rPr>
          <w:sz w:val="22"/>
          <w:szCs w:val="22"/>
        </w:rPr>
        <w:t>2/10</w:t>
      </w:r>
    </w:p>
    <w:p w:rsidR="00000000" w:rsidRDefault="000162AD">
      <w:pPr>
        <w:spacing w:line="360" w:lineRule="auto"/>
        <w:ind w:firstLine="709"/>
        <w:rPr>
          <w:b/>
          <w:bCs/>
          <w:color w:val="2E2E2E"/>
          <w:sz w:val="24"/>
          <w:szCs w:val="24"/>
        </w:rPr>
      </w:pPr>
    </w:p>
    <w:p w:rsidR="00000000" w:rsidRDefault="000162AD">
      <w:pPr>
        <w:pStyle w:val="16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000000" w:rsidRDefault="000162AD">
      <w:pPr>
        <w:pStyle w:val="16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о рабочей группе территориальной избирательной комиссии </w:t>
      </w:r>
      <w:r w:rsidR="008D4CED">
        <w:rPr>
          <w:b/>
          <w:bCs/>
        </w:rPr>
        <w:t>№ 2 Октябрьского округа города Липецка</w:t>
      </w:r>
      <w:r>
        <w:rPr>
          <w:b/>
          <w:bCs/>
        </w:rPr>
        <w:t xml:space="preserve"> по предварительному рассмотрению жа</w:t>
      </w:r>
      <w:r>
        <w:rPr>
          <w:b/>
          <w:bCs/>
        </w:rPr>
        <w:t>лоб (заявлений) на решения и действия (бездей</w:t>
      </w:r>
      <w:r>
        <w:rPr>
          <w:b/>
          <w:bCs/>
        </w:rPr>
        <w:t>ствие) нижестоящих избирательных комиссий, ко</w:t>
      </w:r>
      <w:r>
        <w:rPr>
          <w:b/>
          <w:bCs/>
        </w:rPr>
        <w:t>миссий референдума и их должностных лиц, нарушающие избирательные права, право на участие в референдуме граждан Российской Федерации</w:t>
      </w:r>
    </w:p>
    <w:p w:rsidR="00000000" w:rsidRDefault="000162AD">
      <w:pPr>
        <w:pStyle w:val="16"/>
        <w:spacing w:line="240" w:lineRule="auto"/>
        <w:ind w:firstLine="0"/>
        <w:jc w:val="center"/>
      </w:pPr>
    </w:p>
    <w:p w:rsidR="00000000" w:rsidRDefault="000162AD">
      <w:pPr>
        <w:pStyle w:val="16"/>
        <w:spacing w:line="240" w:lineRule="auto"/>
      </w:pPr>
      <w:r>
        <w:t>1. Настоящее Положение устанавливает порядок деятельности рабочей группы по п</w:t>
      </w:r>
      <w:r>
        <w:t>редварительному рассмотрению жалоб (заявлений) на решения и действия (бездейс</w:t>
      </w:r>
      <w:r>
        <w:t>твие) нижестоящих избирательных комиссий, комиссий референдума и их должностных лиц, нарушающие избирательные права и право на участие</w:t>
      </w:r>
      <w:r>
        <w:t xml:space="preserve"> в референдуме граждан Российской Федерации (</w:t>
      </w:r>
      <w:r>
        <w:t>далее – Рабочая группа).</w:t>
      </w:r>
    </w:p>
    <w:p w:rsidR="00000000" w:rsidRDefault="000162AD">
      <w:pPr>
        <w:pStyle w:val="16"/>
        <w:spacing w:line="240" w:lineRule="auto"/>
      </w:pPr>
      <w:r>
        <w:t>2.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законами Липецкой области, постановлениями избирательной комиссии Липецкой обл</w:t>
      </w:r>
      <w:r>
        <w:t xml:space="preserve">асти, постановлениями территориальной избирательной комиссии </w:t>
      </w:r>
      <w:r w:rsidR="008D4CED">
        <w:t>№ 2 Октябрьского округа города Липецка</w:t>
      </w:r>
      <w:r>
        <w:t>, а также</w:t>
      </w:r>
      <w:r w:rsidR="008D4CED">
        <w:t xml:space="preserve"> </w:t>
      </w:r>
      <w:r>
        <w:t>настоящим Положением.</w:t>
      </w:r>
    </w:p>
    <w:p w:rsidR="00000000" w:rsidRDefault="000162AD">
      <w:pPr>
        <w:pStyle w:val="16"/>
        <w:spacing w:line="240" w:lineRule="auto"/>
      </w:pPr>
      <w:r>
        <w:t>3. При проведении выборов в федеральные и региональные органы государственной вл</w:t>
      </w:r>
      <w:r>
        <w:t>асти, в представительные органы муниципальных</w:t>
      </w:r>
      <w:r>
        <w:t xml:space="preserve"> образований в Липецкой области, референдумов</w:t>
      </w:r>
      <w:r>
        <w:t xml:space="preserve"> Рабочая группа рассматривает жалобы (заявления) на решения и действия (бездействие) нижестоящих избирательных комиссий и их должностных лиц.</w:t>
      </w:r>
    </w:p>
    <w:p w:rsidR="00000000" w:rsidRDefault="000162AD">
      <w:pPr>
        <w:pStyle w:val="16"/>
        <w:spacing w:line="240" w:lineRule="auto"/>
      </w:pPr>
      <w:r>
        <w:t xml:space="preserve">4. Поступившие в территориальную избирательную комиссию </w:t>
      </w:r>
      <w:r w:rsidR="008D4CED">
        <w:t>№ 2 Октябрьского округа города Липецка</w:t>
      </w:r>
      <w:r>
        <w:t xml:space="preserve"> (далее – Комиссия) жалобы с прилагаемыми к ним материалами, вносятся на заседание Рабочей группы по поручению председателя Комиссии, заместителя председателя Комиссии.</w:t>
      </w:r>
    </w:p>
    <w:p w:rsidR="00000000" w:rsidRDefault="000162AD">
      <w:pPr>
        <w:pStyle w:val="16"/>
        <w:spacing w:line="240" w:lineRule="auto"/>
      </w:pPr>
      <w:r>
        <w:t>Жалоба, первонача</w:t>
      </w:r>
      <w:r>
        <w:t>льно направленная на рассмотрение членам Коми</w:t>
      </w:r>
      <w:r>
        <w:t>ссии, может быть внесена на заседание Рабочей</w:t>
      </w:r>
      <w:r>
        <w:t xml:space="preserve"> группы по согласованию с руководителем Рабочей группы.</w:t>
      </w:r>
    </w:p>
    <w:p w:rsidR="00000000" w:rsidRDefault="000162AD">
      <w:pPr>
        <w:pStyle w:val="16"/>
        <w:spacing w:line="240" w:lineRule="auto"/>
      </w:pPr>
      <w:r>
        <w:t>5. Заседание Рабочей группы созывает руководитель Рабочей группы. Деятельность Рабочей группы осуществляется коллегиально. Заседание Рабочей группы являетс</w:t>
      </w:r>
      <w:r>
        <w:t>я правомочным, если на нем присутствует большинство от утвержденного состава Рабочей группы.</w:t>
      </w:r>
    </w:p>
    <w:p w:rsidR="00000000" w:rsidRDefault="000162AD">
      <w:pPr>
        <w:pStyle w:val="16"/>
        <w:spacing w:line="240" w:lineRule="auto"/>
      </w:pPr>
      <w:r>
        <w:t xml:space="preserve">Члены Рабочей группы вправе выступать на заседании Рабочей группы, вносить предложения по вопросам, отнесенным к компетенции Рабочей </w:t>
      </w:r>
      <w:r>
        <w:lastRenderedPageBreak/>
        <w:t>группы, и требовать проведения по данным вопросам голосования, задавать другим участникам заседания вопросы и получать на н</w:t>
      </w:r>
      <w:r>
        <w:t>их ответы по существу.</w:t>
      </w:r>
    </w:p>
    <w:p w:rsidR="00000000" w:rsidRDefault="000162AD">
      <w:pPr>
        <w:pStyle w:val="16"/>
        <w:spacing w:line="240" w:lineRule="auto"/>
      </w:pPr>
      <w:r>
        <w:t>6. Продолжительность выступлений на заседании Рабочей группы устанавливается руководителем Рабочей группы (председательствующим на заседании) по согласованию с докладчиком и заинтересованными сторонами, но не должна превышать: для до</w:t>
      </w:r>
      <w:r>
        <w:t>клада и выступлений заинтересованных сторон – 10 минут; для иных выступлений – 5 минут; для справок, оглашения информации, обращений – 3 минуты. Рабочая группа вправе принять решение о предоставлении дополнительного времени докладчику и заинтересованным ст</w:t>
      </w:r>
      <w:r>
        <w:t>оронам.</w:t>
      </w:r>
    </w:p>
    <w:p w:rsidR="00000000" w:rsidRDefault="000162AD">
      <w:pPr>
        <w:pStyle w:val="16"/>
        <w:spacing w:line="240" w:lineRule="auto"/>
      </w:pPr>
      <w:r>
        <w:t>7. Руководитель Рабочей группы (председательствующий на заседании) ведет заседание, предоставляет слово участникам заседания, ставит на голосование поступающие предложения, оглашает результаты голосования, организует принятие рекомендаций для Комис</w:t>
      </w:r>
      <w:r>
        <w:t>сии по обсуждаемому вопросу.</w:t>
      </w:r>
    </w:p>
    <w:p w:rsidR="00000000" w:rsidRDefault="000162AD">
      <w:pPr>
        <w:pStyle w:val="16"/>
        <w:spacing w:line="240" w:lineRule="auto"/>
      </w:pPr>
      <w:r>
        <w:t xml:space="preserve">8. По поручению руководителя Рабочей группы секретарь Рабочей </w:t>
      </w:r>
      <w:r w:rsidRPr="008D4CED">
        <w:t>группы, а в случае отсутствия секретаря – член Рабочей группы, после</w:t>
      </w:r>
      <w:r>
        <w:t xml:space="preserve"> принятия решения руководителем Рабочей группы о вынесении вопроса на заседание Рабочей группы об</w:t>
      </w:r>
      <w:r>
        <w:t>еспечивает членов Рабочей группы всеми поступившими в Комиссию по рассматриваемой жалобе материалами, извещает членов Рабочей группы о дате и времени заседания, обеспечивает направление телеграмм заинтересованным сторонам и пропуск приглашенных лиц, участв</w:t>
      </w:r>
      <w:r>
        <w:t>ующих в заседании, составляет список участников заседания, в том числе приглашенных, регистрирует участников заседания.</w:t>
      </w:r>
    </w:p>
    <w:p w:rsidR="00000000" w:rsidRDefault="000162AD">
      <w:pPr>
        <w:pStyle w:val="16"/>
        <w:spacing w:line="240" w:lineRule="auto"/>
      </w:pPr>
      <w:r>
        <w:t>Секретарь Рабочей группы ведет протокол заседания Рабочей группы.</w:t>
      </w:r>
    </w:p>
    <w:p w:rsidR="00000000" w:rsidRDefault="000162AD">
      <w:pPr>
        <w:pStyle w:val="16"/>
        <w:spacing w:line="240" w:lineRule="auto"/>
      </w:pPr>
      <w:r>
        <w:t>В протоколе указываются: дата и повестка дня заседания, присутствующие</w:t>
      </w:r>
      <w:r>
        <w:t xml:space="preserve"> на заседании 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дня, внесенные предложения, результаты голосования по ним, а также по рекомендациям Рабочей гр</w:t>
      </w:r>
      <w:r>
        <w:t>уппы для Комиссии.</w:t>
      </w:r>
    </w:p>
    <w:p w:rsidR="00000000" w:rsidRDefault="000162AD">
      <w:pPr>
        <w:pStyle w:val="16"/>
        <w:spacing w:line="240" w:lineRule="auto"/>
      </w:pPr>
      <w:r>
        <w:t>Протокол заседания Рабочей группы подписывают руководитель и секретарь Рабочей группы (председательствующий и секретарь заседания).</w:t>
      </w:r>
    </w:p>
    <w:p w:rsidR="00000000" w:rsidRDefault="000162AD">
      <w:pPr>
        <w:pStyle w:val="16"/>
        <w:spacing w:line="240" w:lineRule="auto"/>
      </w:pPr>
      <w:r>
        <w:t>9. Подготовку материалов к заседанию Рабочей группы по поручению руководителя Рабочей группы осуществляют</w:t>
      </w:r>
      <w:r>
        <w:t xml:space="preserve"> секретарь и члены Рабочей группы. </w:t>
      </w:r>
    </w:p>
    <w:p w:rsidR="00000000" w:rsidRDefault="000162AD">
      <w:pPr>
        <w:pStyle w:val="16"/>
        <w:spacing w:line="240" w:lineRule="auto"/>
      </w:pPr>
      <w:r>
        <w:t xml:space="preserve">10. По решению председателя Комиссии, принятому на основании обращения руководителя Рабочей группы, согласованного с членами Рабочей группы, может проводиться дополнительная проверка фактов, содержащихся в жалобе, в том </w:t>
      </w:r>
      <w:r>
        <w:t>числе с выездом членов Рабочей группы.</w:t>
      </w:r>
    </w:p>
    <w:p w:rsidR="00000000" w:rsidRDefault="000162AD">
      <w:pPr>
        <w:pStyle w:val="16"/>
        <w:spacing w:line="240" w:lineRule="auto"/>
      </w:pPr>
      <w:r>
        <w:t xml:space="preserve">11. При подготовке к заседанию Рабочей группы изготавливаются копии необходимых для заседания материалов и передаются для ознакомления членам Рабочей группы. </w:t>
      </w:r>
    </w:p>
    <w:p w:rsidR="00000000" w:rsidRDefault="000162AD">
      <w:pPr>
        <w:pStyle w:val="16"/>
        <w:spacing w:line="240" w:lineRule="auto"/>
      </w:pPr>
      <w:r>
        <w:t>12. Рекомендации Рабочей группы для Комиссии по результата</w:t>
      </w:r>
      <w:r>
        <w:t xml:space="preserve">м предварительного рассмотрения жалобы принимаются большинством голосов </w:t>
      </w:r>
      <w:r>
        <w:lastRenderedPageBreak/>
        <w:t>от числа присутствующих на заседании членов Рабочей группы открытым голосованием.</w:t>
      </w:r>
    </w:p>
    <w:p w:rsidR="00000000" w:rsidRDefault="000162AD">
      <w:pPr>
        <w:pStyle w:val="16"/>
        <w:spacing w:line="240" w:lineRule="auto"/>
      </w:pPr>
      <w:r>
        <w:t>На основании принятых Рабочей группой рекомендаций в установленном порядке готовится и визируется соот</w:t>
      </w:r>
      <w:r>
        <w:t>ветствующий проект постановления Комиссии (проект ответа заявителю) для внесения его на заседание (на согласование) Комиссии.</w:t>
      </w:r>
    </w:p>
    <w:p w:rsidR="00000000" w:rsidRDefault="000162AD">
      <w:pPr>
        <w:pStyle w:val="16"/>
        <w:spacing w:line="240" w:lineRule="auto"/>
      </w:pPr>
      <w:r>
        <w:t>13. Руководитель Рабочей группы или по его поручению заместитель руководителя Рабочей группы, член Комиссии, являющийся членом Раб</w:t>
      </w:r>
      <w:r>
        <w:t>очей группы, на заседании Комиссии представляет подготовленный на основании рекомендаций Рабочей группы проект постановления Комиссии (проект ответа заявителю).</w:t>
      </w:r>
    </w:p>
    <w:p w:rsidR="00000000" w:rsidRDefault="000162AD">
      <w:pPr>
        <w:pStyle w:val="16"/>
        <w:spacing w:line="240" w:lineRule="auto"/>
      </w:pPr>
      <w:r>
        <w:t xml:space="preserve">14. В отсутствие руководителя Рабочей группы его полномочия исполняет заместитель руководителя </w:t>
      </w:r>
      <w:r>
        <w:t>Рабочей группы.</w:t>
      </w:r>
    </w:p>
    <w:p w:rsidR="00000000" w:rsidRDefault="000162AD">
      <w:pPr>
        <w:pStyle w:val="16"/>
        <w:spacing w:line="240" w:lineRule="auto"/>
      </w:pPr>
    </w:p>
    <w:p w:rsidR="00000000" w:rsidRDefault="000162AD">
      <w:pPr>
        <w:pStyle w:val="16"/>
        <w:spacing w:line="240" w:lineRule="auto"/>
        <w:sectPr w:rsidR="00000000">
          <w:footnotePr>
            <w:numFmt w:val="chicago"/>
            <w:numRestart w:val="eachPage"/>
          </w:footnotePr>
          <w:pgSz w:w="11906" w:h="16838"/>
          <w:pgMar w:top="1135" w:right="566" w:bottom="993" w:left="1701" w:header="709" w:footer="709" w:gutter="0"/>
          <w:pgNumType w:start="1"/>
          <w:cols w:space="720"/>
          <w:titlePg/>
          <w:docGrid w:linePitch="360"/>
        </w:sectPr>
      </w:pPr>
    </w:p>
    <w:p w:rsidR="00000000" w:rsidRDefault="000162AD">
      <w:pPr>
        <w:widowControl w:val="0"/>
        <w:autoSpaceDE w:val="0"/>
        <w:autoSpaceDN w:val="0"/>
        <w:adjustRightInd w:val="0"/>
        <w:ind w:left="4962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Приложение № 2</w:t>
      </w:r>
    </w:p>
    <w:p w:rsidR="00000000" w:rsidRDefault="001226C2">
      <w:pPr>
        <w:pStyle w:val="16"/>
        <w:spacing w:line="240" w:lineRule="auto"/>
        <w:ind w:left="4954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0162AD">
        <w:rPr>
          <w:sz w:val="22"/>
          <w:szCs w:val="22"/>
        </w:rPr>
        <w:t>постановлени</w:t>
      </w:r>
      <w:r>
        <w:rPr>
          <w:sz w:val="22"/>
          <w:szCs w:val="22"/>
        </w:rPr>
        <w:t xml:space="preserve">ю </w:t>
      </w:r>
      <w:r w:rsidR="000162AD">
        <w:rPr>
          <w:sz w:val="22"/>
          <w:szCs w:val="22"/>
        </w:rPr>
        <w:t xml:space="preserve">территориальной избирательной комиссии </w:t>
      </w:r>
      <w:r w:rsidR="008D4CED">
        <w:rPr>
          <w:sz w:val="22"/>
          <w:szCs w:val="22"/>
        </w:rPr>
        <w:t xml:space="preserve">№ 2 Октябрьского </w:t>
      </w:r>
      <w:r w:rsidR="000162AD">
        <w:rPr>
          <w:sz w:val="22"/>
          <w:szCs w:val="22"/>
        </w:rPr>
        <w:t>округа</w:t>
      </w:r>
      <w:r w:rsidR="008D4CED">
        <w:rPr>
          <w:sz w:val="22"/>
          <w:szCs w:val="22"/>
        </w:rPr>
        <w:t xml:space="preserve"> города Липецка</w:t>
      </w:r>
    </w:p>
    <w:p w:rsidR="00000000" w:rsidRDefault="000162AD">
      <w:pPr>
        <w:pStyle w:val="16"/>
        <w:spacing w:line="240" w:lineRule="auto"/>
        <w:ind w:left="4247"/>
        <w:jc w:val="center"/>
        <w:rPr>
          <w:sz w:val="22"/>
          <w:szCs w:val="22"/>
        </w:rPr>
      </w:pPr>
      <w:r>
        <w:rPr>
          <w:sz w:val="22"/>
          <w:szCs w:val="22"/>
        </w:rPr>
        <w:t>от «</w:t>
      </w:r>
      <w:r w:rsidR="008D4CED">
        <w:rPr>
          <w:sz w:val="22"/>
          <w:szCs w:val="22"/>
        </w:rPr>
        <w:t>23</w:t>
      </w:r>
      <w:r>
        <w:rPr>
          <w:sz w:val="22"/>
          <w:szCs w:val="22"/>
        </w:rPr>
        <w:t xml:space="preserve">» </w:t>
      </w:r>
      <w:r w:rsidR="008D4CED">
        <w:rPr>
          <w:sz w:val="22"/>
          <w:szCs w:val="22"/>
        </w:rPr>
        <w:t>января</w:t>
      </w:r>
      <w:r>
        <w:rPr>
          <w:sz w:val="22"/>
          <w:szCs w:val="22"/>
        </w:rPr>
        <w:t xml:space="preserve"> 20</w:t>
      </w:r>
      <w:r w:rsidR="008D4CED">
        <w:rPr>
          <w:sz w:val="22"/>
          <w:szCs w:val="22"/>
        </w:rPr>
        <w:t>26</w:t>
      </w:r>
      <w:r>
        <w:rPr>
          <w:sz w:val="22"/>
          <w:szCs w:val="22"/>
        </w:rPr>
        <w:t xml:space="preserve"> года № </w:t>
      </w:r>
      <w:r w:rsidR="008D4CED">
        <w:rPr>
          <w:sz w:val="22"/>
          <w:szCs w:val="22"/>
        </w:rPr>
        <w:t>2/10</w:t>
      </w:r>
    </w:p>
    <w:p w:rsidR="00000000" w:rsidRDefault="000162AD">
      <w:pPr>
        <w:spacing w:line="360" w:lineRule="auto"/>
        <w:ind w:firstLine="709"/>
        <w:rPr>
          <w:b/>
          <w:bCs/>
          <w:color w:val="2E2E2E"/>
        </w:rPr>
      </w:pPr>
    </w:p>
    <w:p w:rsidR="00000000" w:rsidRDefault="000162AD">
      <w:pPr>
        <w:ind w:firstLine="709"/>
        <w:rPr>
          <w:b/>
          <w:bCs/>
          <w:color w:val="2E2E2E"/>
        </w:rPr>
      </w:pPr>
      <w:r>
        <w:rPr>
          <w:b/>
          <w:bCs/>
          <w:color w:val="2E2E2E"/>
        </w:rPr>
        <w:t>СОСТАВ</w:t>
      </w:r>
    </w:p>
    <w:p w:rsidR="00000000" w:rsidRDefault="000162AD">
      <w:pPr>
        <w:rPr>
          <w:b/>
          <w:bCs/>
        </w:rPr>
      </w:pPr>
      <w:r>
        <w:rPr>
          <w:b/>
          <w:bCs/>
          <w:color w:val="2E2E2E"/>
        </w:rPr>
        <w:t xml:space="preserve">рабочей группы территориальной избирательной комиссии </w:t>
      </w:r>
      <w:r w:rsidR="005010C9">
        <w:rPr>
          <w:b/>
          <w:bCs/>
          <w:color w:val="2E2E2E"/>
        </w:rPr>
        <w:t>№ 2 Октябрьского округа города Липецка</w:t>
      </w:r>
      <w:r>
        <w:rPr>
          <w:b/>
          <w:bCs/>
          <w:color w:val="2E2E2E"/>
        </w:rPr>
        <w:t xml:space="preserve"> </w:t>
      </w:r>
      <w:r>
        <w:rPr>
          <w:b/>
          <w:bCs/>
        </w:rPr>
        <w:t>по предварительному рассмотрению жалоб (заявлений) на решения и действия (бездействие) нижестоящих избирательных комиссий, комиссий референдума и их должностных лиц, нарушающие избирательные права, право на участие в референдуме граждан Российской Феде</w:t>
      </w:r>
      <w:r>
        <w:rPr>
          <w:b/>
          <w:bCs/>
        </w:rPr>
        <w:t>рации</w:t>
      </w:r>
    </w:p>
    <w:tbl>
      <w:tblPr>
        <w:tblpPr w:leftFromText="180" w:rightFromText="180" w:vertAnchor="text" w:horzAnchor="page" w:tblpX="2128" w:tblpY="538"/>
        <w:tblOverlap w:val="never"/>
        <w:tblW w:w="88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</w:tblGrid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10C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ДЕЕВ </w:t>
            </w:r>
          </w:p>
          <w:p w:rsidR="00CF431B" w:rsidRDefault="00CF431B">
            <w:pPr>
              <w:jc w:val="left"/>
            </w:pPr>
            <w:r>
              <w:t>Андрей Борисович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r>
              <w:t>председатель территориальной избирательной комиссии</w:t>
            </w:r>
          </w:p>
        </w:tc>
      </w:tr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руководителя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10C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КОЖЕВНИКОВА</w:t>
            </w:r>
          </w:p>
          <w:p w:rsidR="00CF431B" w:rsidRDefault="00CF431B">
            <w:pPr>
              <w:jc w:val="left"/>
            </w:pPr>
            <w:r>
              <w:t>Екатерина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r>
              <w:t>заместитель председателя территориальной избирательной комиссии</w:t>
            </w:r>
          </w:p>
        </w:tc>
      </w:tr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pPr>
              <w:rPr>
                <w:b/>
                <w:bCs/>
              </w:rPr>
            </w:pPr>
            <w:r>
              <w:rPr>
                <w:b/>
                <w:bCs/>
              </w:rPr>
              <w:t>Секрета</w:t>
            </w:r>
            <w:r>
              <w:rPr>
                <w:b/>
                <w:bCs/>
              </w:rPr>
              <w:t>рь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1B" w:rsidRDefault="005010C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КАКУНИНА</w:t>
            </w:r>
          </w:p>
          <w:p w:rsidR="00000000" w:rsidRDefault="00CF431B">
            <w:pPr>
              <w:jc w:val="left"/>
            </w:pPr>
            <w:r>
              <w:t>Алина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r>
              <w:t>секретарь территориальной избирательной комиссии</w:t>
            </w:r>
          </w:p>
        </w:tc>
      </w:tr>
      <w:tr w:rsidR="00000000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pPr>
              <w:rPr>
                <w:b/>
                <w:bCs/>
              </w:rPr>
            </w:pPr>
            <w:r>
              <w:rPr>
                <w:b/>
                <w:bCs/>
              </w:rPr>
              <w:t>Члены рабочей группы</w:t>
            </w:r>
          </w:p>
        </w:tc>
      </w:tr>
      <w:tr w:rsidR="0000000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10C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ЛОСЕВА</w:t>
            </w:r>
          </w:p>
          <w:p w:rsidR="00CF431B" w:rsidRDefault="00CF431B">
            <w:pPr>
              <w:jc w:val="left"/>
              <w:rPr>
                <w:bCs/>
              </w:rPr>
            </w:pPr>
            <w:r>
              <w:rPr>
                <w:bCs/>
              </w:rPr>
              <w:t>Ольга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162AD">
            <w:r>
              <w:t>член территориальной избирательной комиссии с правом решающего голоса</w:t>
            </w:r>
          </w:p>
        </w:tc>
      </w:tr>
      <w:tr w:rsidR="005010C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1B" w:rsidRDefault="005010C9" w:rsidP="005010C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КЛЮЧИКОВА</w:t>
            </w:r>
          </w:p>
          <w:p w:rsidR="005010C9" w:rsidRPr="00CF431B" w:rsidRDefault="005010C9" w:rsidP="005010C9">
            <w:pPr>
              <w:jc w:val="left"/>
            </w:pPr>
            <w:r w:rsidRPr="00CF431B">
              <w:t>М</w:t>
            </w:r>
            <w:r w:rsidR="00CF431B" w:rsidRPr="00CF431B">
              <w:t xml:space="preserve">арина </w:t>
            </w:r>
            <w:r w:rsidRPr="00CF431B">
              <w:t>А</w:t>
            </w:r>
            <w:r w:rsidR="00CF431B" w:rsidRPr="00CF431B">
              <w:t>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C9" w:rsidRDefault="005010C9" w:rsidP="005010C9">
            <w:r>
              <w:t>член территориальной избирательной комиссии с правом решающего голоса</w:t>
            </w:r>
          </w:p>
        </w:tc>
      </w:tr>
      <w:tr w:rsidR="005010C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1B" w:rsidRDefault="005010C9" w:rsidP="005010C9">
            <w:pPr>
              <w:jc w:val="left"/>
              <w:rPr>
                <w:b/>
                <w:bCs/>
              </w:rPr>
            </w:pPr>
            <w:r w:rsidRPr="005010C9">
              <w:rPr>
                <w:b/>
                <w:bCs/>
              </w:rPr>
              <w:t xml:space="preserve">ПОПОВ </w:t>
            </w:r>
          </w:p>
          <w:p w:rsidR="005010C9" w:rsidRPr="00CF431B" w:rsidRDefault="00CF431B" w:rsidP="005010C9">
            <w:pPr>
              <w:jc w:val="left"/>
            </w:pPr>
            <w:r w:rsidRPr="00CF431B">
              <w:t>Алексей Геннадиевич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C9" w:rsidRDefault="005010C9" w:rsidP="005010C9">
            <w:r>
              <w:t>член территориальной избирательной комиссии с правом решающего голоса</w:t>
            </w:r>
          </w:p>
        </w:tc>
      </w:tr>
      <w:tr w:rsidR="005010C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1B" w:rsidRDefault="005010C9" w:rsidP="005010C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ПЛАТОНОВА</w:t>
            </w:r>
          </w:p>
          <w:p w:rsidR="005010C9" w:rsidRPr="00CF431B" w:rsidRDefault="005010C9" w:rsidP="005010C9">
            <w:pPr>
              <w:jc w:val="left"/>
            </w:pPr>
            <w:r w:rsidRPr="00CF431B">
              <w:t>Т</w:t>
            </w:r>
            <w:r w:rsidR="00CF431B" w:rsidRPr="00CF431B">
              <w:t xml:space="preserve">атьяна </w:t>
            </w:r>
            <w:r w:rsidRPr="00CF431B">
              <w:t>Е</w:t>
            </w:r>
            <w:r w:rsidR="00CF431B" w:rsidRPr="00CF431B">
              <w:t>лисеевна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C9" w:rsidRDefault="005010C9" w:rsidP="005010C9">
            <w:r>
              <w:t>член территориальной избирательной комиссии с правом решающего голоса</w:t>
            </w:r>
          </w:p>
        </w:tc>
      </w:tr>
    </w:tbl>
    <w:p w:rsidR="00000000" w:rsidRDefault="000162AD">
      <w:pPr>
        <w:jc w:val="both"/>
        <w:rPr>
          <w:b/>
          <w:szCs w:val="24"/>
        </w:rPr>
      </w:pPr>
    </w:p>
    <w:p w:rsidR="006D5946" w:rsidRDefault="006D5946">
      <w:pPr>
        <w:jc w:val="both"/>
      </w:pPr>
    </w:p>
    <w:sectPr w:rsidR="006D5946">
      <w:footnotePr>
        <w:numFmt w:val="chicago"/>
        <w:numRestart w:val="eachPage"/>
      </w:footnotePr>
      <w:pgSz w:w="11906" w:h="16838"/>
      <w:pgMar w:top="1135" w:right="566" w:bottom="993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AD" w:rsidRDefault="000162AD">
      <w:r>
        <w:separator/>
      </w:r>
    </w:p>
  </w:endnote>
  <w:endnote w:type="continuationSeparator" w:id="0">
    <w:p w:rsidR="000162AD" w:rsidRDefault="0001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AD" w:rsidRDefault="000162AD">
      <w:r>
        <w:separator/>
      </w:r>
    </w:p>
  </w:footnote>
  <w:footnote w:type="continuationSeparator" w:id="0">
    <w:p w:rsidR="000162AD" w:rsidRDefault="0001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162AD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162A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162AD">
    <w:pPr>
      <w:pStyle w:val="ac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BF6A42">
      <w:rPr>
        <w:rStyle w:val="a5"/>
        <w:noProof/>
        <w:sz w:val="24"/>
        <w:szCs w:val="24"/>
      </w:rPr>
      <w:t>2</w:t>
    </w:r>
    <w:r>
      <w:rPr>
        <w:rStyle w:val="a5"/>
        <w:sz w:val="24"/>
        <w:szCs w:val="24"/>
      </w:rPr>
      <w:fldChar w:fldCharType="end"/>
    </w:r>
  </w:p>
  <w:p w:rsidR="00000000" w:rsidRDefault="000162A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70"/>
    <w:rsid w:val="000162AD"/>
    <w:rsid w:val="00056450"/>
    <w:rsid w:val="00061163"/>
    <w:rsid w:val="000B50E1"/>
    <w:rsid w:val="000D792F"/>
    <w:rsid w:val="000E3D9A"/>
    <w:rsid w:val="00107386"/>
    <w:rsid w:val="001120FD"/>
    <w:rsid w:val="001226C2"/>
    <w:rsid w:val="001230FC"/>
    <w:rsid w:val="0014673B"/>
    <w:rsid w:val="001A2001"/>
    <w:rsid w:val="001A45CF"/>
    <w:rsid w:val="001C0737"/>
    <w:rsid w:val="001C45B6"/>
    <w:rsid w:val="001C7119"/>
    <w:rsid w:val="001D75F9"/>
    <w:rsid w:val="001F32F5"/>
    <w:rsid w:val="00200BA9"/>
    <w:rsid w:val="002017D1"/>
    <w:rsid w:val="0023792F"/>
    <w:rsid w:val="00255D81"/>
    <w:rsid w:val="002A127D"/>
    <w:rsid w:val="002A6689"/>
    <w:rsid w:val="002B2EE6"/>
    <w:rsid w:val="002D022D"/>
    <w:rsid w:val="002D5266"/>
    <w:rsid w:val="00330849"/>
    <w:rsid w:val="003339FB"/>
    <w:rsid w:val="003474C8"/>
    <w:rsid w:val="00360CFC"/>
    <w:rsid w:val="003710F1"/>
    <w:rsid w:val="003B5148"/>
    <w:rsid w:val="003B5F43"/>
    <w:rsid w:val="003D1374"/>
    <w:rsid w:val="0040555D"/>
    <w:rsid w:val="004073D4"/>
    <w:rsid w:val="004209B2"/>
    <w:rsid w:val="004500B6"/>
    <w:rsid w:val="00450D99"/>
    <w:rsid w:val="00454E37"/>
    <w:rsid w:val="0045681E"/>
    <w:rsid w:val="00476F6F"/>
    <w:rsid w:val="00483F5F"/>
    <w:rsid w:val="00494BE8"/>
    <w:rsid w:val="00497C86"/>
    <w:rsid w:val="004A3D70"/>
    <w:rsid w:val="004B092A"/>
    <w:rsid w:val="004B6616"/>
    <w:rsid w:val="004E0009"/>
    <w:rsid w:val="004F0103"/>
    <w:rsid w:val="005010C9"/>
    <w:rsid w:val="00512284"/>
    <w:rsid w:val="0051296A"/>
    <w:rsid w:val="005548EC"/>
    <w:rsid w:val="00570932"/>
    <w:rsid w:val="00582CF6"/>
    <w:rsid w:val="005931C1"/>
    <w:rsid w:val="005A68EC"/>
    <w:rsid w:val="005B0682"/>
    <w:rsid w:val="005E080A"/>
    <w:rsid w:val="005F3C66"/>
    <w:rsid w:val="006024CD"/>
    <w:rsid w:val="006207BB"/>
    <w:rsid w:val="006254C0"/>
    <w:rsid w:val="00625584"/>
    <w:rsid w:val="00625D57"/>
    <w:rsid w:val="00626CFA"/>
    <w:rsid w:val="00631D54"/>
    <w:rsid w:val="00645CFE"/>
    <w:rsid w:val="00661D44"/>
    <w:rsid w:val="006651FF"/>
    <w:rsid w:val="00684224"/>
    <w:rsid w:val="006B2938"/>
    <w:rsid w:val="006B5062"/>
    <w:rsid w:val="006C4295"/>
    <w:rsid w:val="006D5946"/>
    <w:rsid w:val="006E0CB8"/>
    <w:rsid w:val="006F6F31"/>
    <w:rsid w:val="0070210E"/>
    <w:rsid w:val="00702D7A"/>
    <w:rsid w:val="0070587A"/>
    <w:rsid w:val="00705D96"/>
    <w:rsid w:val="00726A46"/>
    <w:rsid w:val="007313C7"/>
    <w:rsid w:val="007354B8"/>
    <w:rsid w:val="0074245B"/>
    <w:rsid w:val="00745857"/>
    <w:rsid w:val="00752B8E"/>
    <w:rsid w:val="00757B6F"/>
    <w:rsid w:val="0077142B"/>
    <w:rsid w:val="00797F5A"/>
    <w:rsid w:val="007C35A5"/>
    <w:rsid w:val="007C535B"/>
    <w:rsid w:val="007E6574"/>
    <w:rsid w:val="007F0666"/>
    <w:rsid w:val="00800DD1"/>
    <w:rsid w:val="00804EDA"/>
    <w:rsid w:val="00830D6C"/>
    <w:rsid w:val="0086235E"/>
    <w:rsid w:val="00865668"/>
    <w:rsid w:val="008729B4"/>
    <w:rsid w:val="008A177B"/>
    <w:rsid w:val="008A7F1D"/>
    <w:rsid w:val="008C1DCA"/>
    <w:rsid w:val="008C2E4C"/>
    <w:rsid w:val="008D4CED"/>
    <w:rsid w:val="008D7308"/>
    <w:rsid w:val="008E1B2B"/>
    <w:rsid w:val="008E492D"/>
    <w:rsid w:val="00900D2E"/>
    <w:rsid w:val="00902129"/>
    <w:rsid w:val="00911960"/>
    <w:rsid w:val="0092053F"/>
    <w:rsid w:val="009418E4"/>
    <w:rsid w:val="009505BF"/>
    <w:rsid w:val="00952158"/>
    <w:rsid w:val="009554C6"/>
    <w:rsid w:val="009578EF"/>
    <w:rsid w:val="00996BDA"/>
    <w:rsid w:val="009C3A15"/>
    <w:rsid w:val="009C7387"/>
    <w:rsid w:val="009C7F26"/>
    <w:rsid w:val="009E024E"/>
    <w:rsid w:val="009E1A8B"/>
    <w:rsid w:val="009E28B1"/>
    <w:rsid w:val="009E6FED"/>
    <w:rsid w:val="00A023BD"/>
    <w:rsid w:val="00A02CBA"/>
    <w:rsid w:val="00A03185"/>
    <w:rsid w:val="00A22C92"/>
    <w:rsid w:val="00A262C9"/>
    <w:rsid w:val="00A354F1"/>
    <w:rsid w:val="00A43AC5"/>
    <w:rsid w:val="00A57986"/>
    <w:rsid w:val="00A7253B"/>
    <w:rsid w:val="00A931E2"/>
    <w:rsid w:val="00AA577B"/>
    <w:rsid w:val="00AA5CC5"/>
    <w:rsid w:val="00AB069B"/>
    <w:rsid w:val="00AC179D"/>
    <w:rsid w:val="00AC2170"/>
    <w:rsid w:val="00AD17A9"/>
    <w:rsid w:val="00B2152E"/>
    <w:rsid w:val="00B41F2D"/>
    <w:rsid w:val="00B43E61"/>
    <w:rsid w:val="00B96C7E"/>
    <w:rsid w:val="00BA2209"/>
    <w:rsid w:val="00BA348C"/>
    <w:rsid w:val="00BB40DE"/>
    <w:rsid w:val="00BB6F40"/>
    <w:rsid w:val="00BC0B80"/>
    <w:rsid w:val="00BC7535"/>
    <w:rsid w:val="00BF26B1"/>
    <w:rsid w:val="00BF3F24"/>
    <w:rsid w:val="00BF6A42"/>
    <w:rsid w:val="00C03768"/>
    <w:rsid w:val="00C1385A"/>
    <w:rsid w:val="00C41133"/>
    <w:rsid w:val="00C6028C"/>
    <w:rsid w:val="00C6153F"/>
    <w:rsid w:val="00C81D21"/>
    <w:rsid w:val="00C83E0F"/>
    <w:rsid w:val="00CA2B74"/>
    <w:rsid w:val="00CB503C"/>
    <w:rsid w:val="00CB64BE"/>
    <w:rsid w:val="00CD17D0"/>
    <w:rsid w:val="00CD7B8A"/>
    <w:rsid w:val="00CE7D96"/>
    <w:rsid w:val="00CF431B"/>
    <w:rsid w:val="00D13DE2"/>
    <w:rsid w:val="00D2108B"/>
    <w:rsid w:val="00D274C9"/>
    <w:rsid w:val="00D33CAF"/>
    <w:rsid w:val="00D3447B"/>
    <w:rsid w:val="00D52092"/>
    <w:rsid w:val="00D52911"/>
    <w:rsid w:val="00D937AE"/>
    <w:rsid w:val="00DC015B"/>
    <w:rsid w:val="00DC3955"/>
    <w:rsid w:val="00DD0237"/>
    <w:rsid w:val="00DE0468"/>
    <w:rsid w:val="00DF282D"/>
    <w:rsid w:val="00DF7486"/>
    <w:rsid w:val="00E0386F"/>
    <w:rsid w:val="00E302DC"/>
    <w:rsid w:val="00E30C12"/>
    <w:rsid w:val="00E3139F"/>
    <w:rsid w:val="00E314F7"/>
    <w:rsid w:val="00E34E6C"/>
    <w:rsid w:val="00E412B5"/>
    <w:rsid w:val="00E53037"/>
    <w:rsid w:val="00E61716"/>
    <w:rsid w:val="00E63307"/>
    <w:rsid w:val="00E8722C"/>
    <w:rsid w:val="00E940A0"/>
    <w:rsid w:val="00EC1150"/>
    <w:rsid w:val="00EE011D"/>
    <w:rsid w:val="00EF4A60"/>
    <w:rsid w:val="00F03194"/>
    <w:rsid w:val="00F05990"/>
    <w:rsid w:val="00F15108"/>
    <w:rsid w:val="00F22BDF"/>
    <w:rsid w:val="00F338BC"/>
    <w:rsid w:val="00F65B04"/>
    <w:rsid w:val="00F76218"/>
    <w:rsid w:val="00F84ECC"/>
    <w:rsid w:val="00F925A8"/>
    <w:rsid w:val="00FC716A"/>
    <w:rsid w:val="00FF3F25"/>
    <w:rsid w:val="00FF697C"/>
    <w:rsid w:val="4E282A29"/>
    <w:rsid w:val="7CC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504CE-D290-424C-8029-0FBFB957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 w:qFormat="1"/>
    <w:lsdException w:name="heading 8" w:qFormat="1"/>
    <w:lsdException w:name="heading 9" w:qFormat="1"/>
    <w:lsdException w:name="toc 1" w:semiHidden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semiHidden="1"/>
    <w:lsdException w:name="caption" w:qFormat="1"/>
    <w:lsdException w:name="Title" w:qFormat="1"/>
    <w:lsdException w:name="Default Paragraph Font" w:semiHidden="1"/>
    <w:lsdException w:name="Subtitle" w:locked="1" w:qFormat="1"/>
    <w:lsdException w:name="Strong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Web 3" w:locked="1"/>
    <w:lsdException w:name="Balloon Text" w:semiHidden="1"/>
    <w:lsdException w:name="Table Theme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qFormat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locked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character" w:styleId="a3">
    <w:name w:val="footnote reference"/>
    <w:rPr>
      <w:rFonts w:cs="Times New Roman"/>
      <w:vertAlign w:val="superscript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page number"/>
    <w:rPr>
      <w:rFonts w:cs="Times New Roman"/>
      <w:spacing w:val="0"/>
      <w:w w:val="100"/>
      <w:sz w:val="22"/>
    </w:rPr>
  </w:style>
  <w:style w:type="character" w:styleId="a6">
    <w:name w:val="Strong"/>
    <w:qFormat/>
    <w:rPr>
      <w:rFonts w:cs="Times New Roman"/>
      <w:b/>
      <w:bCs/>
    </w:r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widowControl w:val="0"/>
      <w:spacing w:before="120"/>
      <w:ind w:left="4253"/>
    </w:pPr>
    <w:rPr>
      <w:szCs w:val="20"/>
    </w:rPr>
  </w:style>
  <w:style w:type="character" w:customStyle="1" w:styleId="22">
    <w:name w:val="Основной текст 2 Знак"/>
    <w:link w:val="21"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  <w:szCs w:val="24"/>
    </w:rPr>
  </w:style>
  <w:style w:type="character" w:customStyle="1" w:styleId="32">
    <w:name w:val="Основной текст с отступом 3 Знак"/>
    <w:link w:val="31"/>
    <w:locked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9">
    <w:name w:val="caption"/>
    <w:basedOn w:val="a"/>
    <w:next w:val="a"/>
    <w:qFormat/>
    <w:pPr>
      <w:jc w:val="left"/>
    </w:pPr>
    <w:rPr>
      <w:sz w:val="24"/>
      <w:szCs w:val="20"/>
    </w:rPr>
  </w:style>
  <w:style w:type="paragraph" w:styleId="aa">
    <w:name w:val="footnote text"/>
    <w:basedOn w:val="a"/>
    <w:link w:val="ab"/>
    <w:semiHidden/>
    <w:pPr>
      <w:spacing w:after="120"/>
      <w:jc w:val="both"/>
    </w:pPr>
    <w:rPr>
      <w:sz w:val="22"/>
      <w:szCs w:val="22"/>
    </w:rPr>
  </w:style>
  <w:style w:type="character" w:customStyle="1" w:styleId="ab">
    <w:name w:val="Текст сноски Знак"/>
    <w:link w:val="aa"/>
    <w:semiHidden/>
    <w:locked/>
    <w:rPr>
      <w:rFonts w:ascii="Times New Roman" w:hAnsi="Times New Roman" w:cs="Times New Roman"/>
      <w:lang w:eastAsia="ru-RU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sz w:val="22"/>
    </w:rPr>
  </w:style>
  <w:style w:type="character" w:customStyle="1" w:styleId="ad">
    <w:name w:val="Верхний колонтитул Знак"/>
    <w:link w:val="ac"/>
    <w:locked/>
    <w:rPr>
      <w:rFonts w:ascii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pPr>
      <w:spacing w:after="120"/>
    </w:pPr>
    <w:rPr>
      <w:szCs w:val="24"/>
    </w:rPr>
  </w:style>
  <w:style w:type="character" w:customStyle="1" w:styleId="af">
    <w:name w:val="Основной текст Знак"/>
    <w:link w:val="ae"/>
    <w:locked/>
    <w:rPr>
      <w:rFonts w:ascii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semiHidden/>
    <w:pPr>
      <w:spacing w:before="120" w:after="120"/>
      <w:jc w:val="left"/>
    </w:pPr>
    <w:rPr>
      <w:b/>
      <w:bCs/>
      <w:caps/>
      <w:sz w:val="20"/>
      <w:szCs w:val="24"/>
    </w:rPr>
  </w:style>
  <w:style w:type="paragraph" w:styleId="af0">
    <w:name w:val="Body Text Indent"/>
    <w:basedOn w:val="a"/>
    <w:link w:val="af1"/>
    <w:pPr>
      <w:spacing w:after="120"/>
      <w:ind w:left="283"/>
    </w:pPr>
    <w:rPr>
      <w:szCs w:val="24"/>
    </w:rPr>
  </w:style>
  <w:style w:type="character" w:customStyle="1" w:styleId="af1">
    <w:name w:val="Основной текст с отступом Знак"/>
    <w:link w:val="af0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Pr>
      <w:b/>
      <w:szCs w:val="20"/>
    </w:rPr>
  </w:style>
  <w:style w:type="character" w:customStyle="1" w:styleId="af3">
    <w:name w:val="Заголовок Знак"/>
    <w:link w:val="af2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f5">
    <w:name w:val="Нижний колонтитул Знак"/>
    <w:link w:val="af4"/>
    <w:locked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Pr>
      <w:b/>
      <w:szCs w:val="20"/>
    </w:rPr>
  </w:style>
  <w:style w:type="character" w:customStyle="1" w:styleId="34">
    <w:name w:val="Основной текст 3 Знак"/>
    <w:link w:val="3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23">
    <w:name w:val="Body Text Indent 2"/>
    <w:basedOn w:val="a"/>
    <w:link w:val="24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locked/>
    <w:rPr>
      <w:rFonts w:ascii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pPr>
      <w:jc w:val="center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Письмо"/>
    <w:basedOn w:val="a"/>
    <w:pPr>
      <w:spacing w:after="120"/>
      <w:ind w:left="4253"/>
    </w:pPr>
  </w:style>
  <w:style w:type="paragraph" w:customStyle="1" w:styleId="14-15">
    <w:name w:val="14-15"/>
    <w:basedOn w:val="a"/>
    <w:pPr>
      <w:spacing w:line="360" w:lineRule="auto"/>
      <w:ind w:firstLine="709"/>
      <w:jc w:val="both"/>
    </w:pPr>
  </w:style>
  <w:style w:type="paragraph" w:customStyle="1" w:styleId="af8">
    <w:name w:val="Сноска"/>
    <w:basedOn w:val="aa"/>
  </w:style>
  <w:style w:type="paragraph" w:customStyle="1" w:styleId="141">
    <w:name w:val="14х1"/>
    <w:basedOn w:val="a"/>
    <w:pPr>
      <w:spacing w:line="360" w:lineRule="auto"/>
      <w:ind w:firstLine="709"/>
      <w:jc w:val="both"/>
    </w:pPr>
  </w:style>
  <w:style w:type="paragraph" w:customStyle="1" w:styleId="14">
    <w:name w:val="Загл.14"/>
    <w:basedOn w:val="a"/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f9">
    <w:name w:val="Норм"/>
    <w:basedOn w:val="a"/>
    <w:rPr>
      <w:szCs w:val="24"/>
    </w:rPr>
  </w:style>
  <w:style w:type="paragraph" w:customStyle="1" w:styleId="13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Pr>
      <w:sz w:val="26"/>
      <w:szCs w:val="24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f0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0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pPr>
      <w:spacing w:before="3480"/>
    </w:pPr>
    <w:rPr>
      <w:sz w:val="28"/>
    </w:rPr>
  </w:style>
  <w:style w:type="paragraph" w:customStyle="1" w:styleId="142">
    <w:name w:val="Письмо14"/>
    <w:basedOn w:val="13"/>
    <w:rPr>
      <w:sz w:val="28"/>
    </w:rPr>
  </w:style>
  <w:style w:type="paragraph" w:customStyle="1" w:styleId="13-17">
    <w:name w:val="13-17"/>
    <w:basedOn w:val="af0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basedOn w:val="a"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12-15">
    <w:name w:val="12-15"/>
    <w:basedOn w:val="af0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a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afb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pPr>
      <w:spacing w:line="360" w:lineRule="auto"/>
      <w:ind w:firstLine="720"/>
      <w:jc w:val="both"/>
    </w:pPr>
  </w:style>
  <w:style w:type="paragraph" w:customStyle="1" w:styleId="afc">
    <w:name w:val="обыч"/>
    <w:basedOn w:val="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d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fe">
    <w:name w:val="Таблица"/>
    <w:basedOn w:val="a"/>
    <w:pPr>
      <w:jc w:val="left"/>
    </w:pPr>
    <w:rPr>
      <w:sz w:val="24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  <w:autoSpaceDN w:val="0"/>
      <w:outlineLvl w:val="0"/>
    </w:pPr>
    <w:rPr>
      <w:szCs w:val="20"/>
    </w:rPr>
  </w:style>
  <w:style w:type="paragraph" w:customStyle="1" w:styleId="35">
    <w:name w:val="заголовок 3"/>
    <w:basedOn w:val="a"/>
    <w:next w:val="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pPr>
      <w:keepNext/>
      <w:autoSpaceDE w:val="0"/>
      <w:autoSpaceDN w:val="0"/>
      <w:outlineLvl w:val="1"/>
    </w:pPr>
    <w:rPr>
      <w:sz w:val="24"/>
      <w:szCs w:val="20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f">
    <w:name w:val="Содерж"/>
    <w:basedOn w:val="a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pPr>
      <w:jc w:val="left"/>
    </w:pPr>
    <w:rPr>
      <w:szCs w:val="20"/>
    </w:rPr>
  </w:style>
  <w:style w:type="paragraph" w:customStyle="1" w:styleId="14-152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f0">
    <w:name w:val="Таб"/>
    <w:basedOn w:val="ac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f1">
    <w:name w:val="Нормальный"/>
    <w:basedOn w:val="a"/>
    <w:pPr>
      <w:widowControl w:val="0"/>
      <w:autoSpaceDE w:val="0"/>
      <w:autoSpaceDN w:val="0"/>
      <w:adjustRightInd w:val="0"/>
      <w:ind w:firstLine="709"/>
      <w:jc w:val="both"/>
    </w:pPr>
    <w:rPr>
      <w:spacing w:val="-1"/>
    </w:rPr>
  </w:style>
  <w:style w:type="paragraph" w:customStyle="1" w:styleId="aff2">
    <w:name w:val="Стиль Нормальный + курсив"/>
    <w:basedOn w:val="aff1"/>
  </w:style>
  <w:style w:type="paragraph" w:customStyle="1" w:styleId="aff3">
    <w:name w:val="Стиль Нормальный + полужирный"/>
    <w:basedOn w:val="aff1"/>
    <w:rPr>
      <w:b/>
      <w:bCs/>
      <w:spacing w:val="2"/>
    </w:rPr>
  </w:style>
  <w:style w:type="character" w:customStyle="1" w:styleId="FontStyle100">
    <w:name w:val="Font Style100"/>
    <w:rPr>
      <w:rFonts w:ascii="Times New Roman" w:hAnsi="Times New Roman"/>
      <w:b/>
      <w:color w:val="000000"/>
      <w:sz w:val="34"/>
    </w:rPr>
  </w:style>
  <w:style w:type="paragraph" w:customStyle="1" w:styleId="aff4">
    <w:name w:val="Знак"/>
    <w:basedOn w:val="4"/>
    <w:pPr>
      <w:spacing w:before="240" w:after="60"/>
      <w:jc w:val="center"/>
    </w:pPr>
    <w:rPr>
      <w:spacing w:val="0"/>
      <w:sz w:val="28"/>
      <w:szCs w:val="26"/>
    </w:rPr>
  </w:style>
  <w:style w:type="paragraph" w:customStyle="1" w:styleId="16">
    <w:name w:val="1"/>
    <w:basedOn w:val="a"/>
    <w:pPr>
      <w:spacing w:line="360" w:lineRule="auto"/>
      <w:ind w:firstLine="709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Маргарита Черкасова</dc:creator>
  <cp:keywords/>
  <dc:description/>
  <cp:lastModifiedBy>IKLO</cp:lastModifiedBy>
  <cp:revision>2</cp:revision>
  <cp:lastPrinted>2020-11-25T09:21:00Z</cp:lastPrinted>
  <dcterms:created xsi:type="dcterms:W3CDTF">2026-01-30T06:49:00Z</dcterms:created>
  <dcterms:modified xsi:type="dcterms:W3CDTF">2026-01-30T06:49:00Z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364521990CA843559A82576B09FD2F47_13</vt:lpwstr>
  </property>
</Properties>
</file>